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F37F63" w:rsidRPr="006F6849" w:rsidTr="00430825">
        <w:trPr>
          <w:trHeight w:val="2835"/>
        </w:trPr>
        <w:tc>
          <w:tcPr>
            <w:tcW w:w="2484" w:type="dxa"/>
          </w:tcPr>
          <w:sdt>
            <w:sdtPr>
              <w:alias w:val="Vælg dato"/>
              <w:tag w:val="Vælg dato"/>
              <w:id w:val="-696322164"/>
              <w:placeholder>
                <w:docPart w:val="1102700AAA9243BFBFA7499DA621CF99"/>
              </w:placeholder>
              <w:date w:fullDate="2014-11-28T00:00:00Z">
                <w:dateFormat w:val="d. MMMM yyyy"/>
                <w:lid w:val="da-DK"/>
                <w:storeMappedDataAs w:val="dateTime"/>
                <w:calendar w:val="gregorian"/>
              </w:date>
            </w:sdtPr>
            <w:sdtEndPr/>
            <w:sdtContent>
              <w:p w:rsidR="00F37F63" w:rsidRDefault="0006188A" w:rsidP="00F37F63">
                <w:pPr>
                  <w:pStyle w:val="Hjrespaltetekst"/>
                  <w:rPr>
                    <w:rFonts w:ascii="Garamond" w:hAnsi="Garamond"/>
                    <w:noProof w:val="0"/>
                    <w:color w:val="auto"/>
                    <w:spacing w:val="0"/>
                    <w:sz w:val="22"/>
                  </w:rPr>
                </w:pPr>
                <w:r>
                  <w:t>28. november 2014</w:t>
                </w:r>
              </w:p>
            </w:sdtContent>
          </w:sdt>
          <w:p w:rsidR="00F37F63" w:rsidRDefault="00F37F63" w:rsidP="00F37F63">
            <w:pPr>
              <w:pStyle w:val="Template-Dato"/>
            </w:pPr>
            <w:r>
              <w:t xml:space="preserve">J.nr. </w:t>
            </w:r>
            <w:bookmarkStart w:id="0" w:name="sagsnr"/>
            <w:bookmarkEnd w:id="0"/>
            <w:r w:rsidR="0045370B">
              <w:t>14-4860750</w:t>
            </w:r>
          </w:p>
          <w:p w:rsidR="00F37F63" w:rsidRPr="00102933" w:rsidRDefault="00F37F63" w:rsidP="00F37F63">
            <w:pPr>
              <w:pStyle w:val="Hjrespaltetekst"/>
              <w:rPr>
                <w:lang w:val="nb-NO"/>
              </w:rPr>
            </w:pPr>
            <w:r w:rsidRPr="00102933">
              <w:rPr>
                <w:lang w:val="nb-NO"/>
              </w:rPr>
              <w:t xml:space="preserve"> </w:t>
            </w: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F37F63" w:rsidRPr="00094ABD" w:rsidTr="00C45EEB">
        <w:trPr>
          <w:trHeight w:hRule="exact" w:val="2835"/>
        </w:trPr>
        <w:tc>
          <w:tcPr>
            <w:tcW w:w="7655" w:type="dxa"/>
            <w:vAlign w:val="bottom"/>
          </w:tcPr>
          <w:p w:rsidR="00F37F63" w:rsidRPr="00094ABD" w:rsidRDefault="00FB1FE9" w:rsidP="00F37F63">
            <w:r w:rsidRPr="00FB1FE9">
              <w:t>Til Folketinget – Skatteudvalget</w:t>
            </w:r>
          </w:p>
        </w:tc>
      </w:tr>
    </w:tbl>
    <w:p w:rsidR="00F37F63" w:rsidRDefault="00F37F63" w:rsidP="00F37F63"/>
    <w:p w:rsidR="00FB1FE9" w:rsidRDefault="00600E3E" w:rsidP="00FB1FE9">
      <w:r w:rsidRPr="00684545">
        <w:t xml:space="preserve">Til udvalgets orientering </w:t>
      </w:r>
      <w:r>
        <w:t>vedlægges høringsskema samt de modtagne høringssvar</w:t>
      </w:r>
      <w:bookmarkStart w:id="1" w:name="_GoBack"/>
      <w:bookmarkEnd w:id="1"/>
      <w:r>
        <w:t xml:space="preserve"> vedr</w:t>
      </w:r>
      <w:r>
        <w:t>ø</w:t>
      </w:r>
      <w:r>
        <w:t>rende forslag til</w:t>
      </w:r>
      <w:r w:rsidRPr="00684545">
        <w:t xml:space="preserve"> </w:t>
      </w:r>
      <w:r w:rsidR="0045370B">
        <w:t xml:space="preserve">Lov om ændring af lov om vurdering af landets faste ejendomme (L </w:t>
      </w:r>
      <w:r w:rsidR="00995289">
        <w:t>76</w:t>
      </w:r>
      <w:r w:rsidR="0045370B">
        <w:t>)</w:t>
      </w:r>
      <w:r w:rsidR="00006F66">
        <w:t>.</w:t>
      </w:r>
    </w:p>
    <w:p w:rsidR="00967833" w:rsidRDefault="00967833" w:rsidP="00967833"/>
    <w:p w:rsidR="00967833" w:rsidRDefault="00967833" w:rsidP="00967833"/>
    <w:p w:rsidR="00161AF0" w:rsidRDefault="00161AF0" w:rsidP="00161AF0">
      <w:pPr>
        <w:keepNext/>
        <w:keepLines/>
        <w:jc w:val="center"/>
      </w:pPr>
      <w:r>
        <w:t>Benny Engelbrecht</w:t>
      </w:r>
    </w:p>
    <w:p w:rsidR="00967833" w:rsidRDefault="00967833" w:rsidP="00967833">
      <w:pPr>
        <w:keepNext/>
        <w:keepLines/>
        <w:jc w:val="right"/>
      </w:pPr>
      <w:r>
        <w:t xml:space="preserve">/ </w:t>
      </w:r>
      <w:r w:rsidR="0045370B">
        <w:t>Camilla Christensen</w:t>
      </w:r>
    </w:p>
    <w:p w:rsidR="00815F28" w:rsidRDefault="00815F28" w:rsidP="00815F28">
      <w:pPr>
        <w:spacing w:line="260" w:lineRule="atLeast"/>
      </w:pPr>
      <w:r>
        <w:br w:type="page"/>
      </w: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13"/>
        <w:gridCol w:w="189"/>
        <w:gridCol w:w="3221"/>
        <w:gridCol w:w="204"/>
        <w:gridCol w:w="3212"/>
      </w:tblGrid>
      <w:tr w:rsidR="0045370B" w:rsidTr="0045370B">
        <w:trPr>
          <w:tblHeader/>
        </w:trPr>
        <w:tc>
          <w:tcPr>
            <w:tcW w:w="2813" w:type="dxa"/>
            <w:shd w:val="clear" w:color="auto" w:fill="D1C5C3"/>
            <w:vAlign w:val="center"/>
          </w:tcPr>
          <w:p w:rsidR="00600E3E" w:rsidRDefault="00600E3E" w:rsidP="00B9508F">
            <w:pPr>
              <w:pStyle w:val="Tabel-KolonneOverskrift"/>
            </w:pPr>
            <w:r>
              <w:lastRenderedPageBreak/>
              <w:t>Organisation</w:t>
            </w:r>
          </w:p>
        </w:tc>
        <w:tc>
          <w:tcPr>
            <w:tcW w:w="189" w:type="dxa"/>
            <w:shd w:val="clear" w:color="auto" w:fill="FFFFFF" w:themeFill="background1"/>
            <w:vAlign w:val="center"/>
          </w:tcPr>
          <w:p w:rsidR="00600E3E" w:rsidRDefault="00600E3E" w:rsidP="00B9508F">
            <w:pPr>
              <w:keepNext/>
              <w:keepLines/>
            </w:pPr>
          </w:p>
        </w:tc>
        <w:tc>
          <w:tcPr>
            <w:tcW w:w="3221" w:type="dxa"/>
            <w:shd w:val="clear" w:color="auto" w:fill="D1C5C3" w:themeFill="accent3"/>
            <w:vAlign w:val="center"/>
          </w:tcPr>
          <w:p w:rsidR="00600E3E" w:rsidRDefault="00600E3E" w:rsidP="00B9508F">
            <w:pPr>
              <w:pStyle w:val="Tabel-KolonneOverskrift"/>
            </w:pPr>
            <w:r>
              <w:t>Bemærkninger</w:t>
            </w:r>
          </w:p>
        </w:tc>
        <w:tc>
          <w:tcPr>
            <w:tcW w:w="204" w:type="dxa"/>
            <w:shd w:val="clear" w:color="auto" w:fill="FFFFFF" w:themeFill="background1"/>
            <w:vAlign w:val="center"/>
          </w:tcPr>
          <w:p w:rsidR="00600E3E" w:rsidRDefault="00600E3E" w:rsidP="00B9508F">
            <w:pPr>
              <w:keepNext/>
              <w:keepLines/>
            </w:pPr>
          </w:p>
        </w:tc>
        <w:tc>
          <w:tcPr>
            <w:tcW w:w="3212" w:type="dxa"/>
            <w:shd w:val="clear" w:color="auto" w:fill="14143C" w:themeFill="accent1"/>
            <w:vAlign w:val="center"/>
          </w:tcPr>
          <w:p w:rsidR="00600E3E" w:rsidRDefault="00600E3E" w:rsidP="00B9508F">
            <w:pPr>
              <w:pStyle w:val="Tabel-KolonneOverskriftHvid"/>
            </w:pPr>
            <w:r>
              <w:t>Kommentarer</w:t>
            </w:r>
          </w:p>
        </w:tc>
      </w:tr>
      <w:tr w:rsidR="0045370B" w:rsidRPr="00B5346F" w:rsidTr="0045370B">
        <w:tc>
          <w:tcPr>
            <w:tcW w:w="2813" w:type="dxa"/>
            <w:tcBorders>
              <w:bottom w:val="single" w:sz="4" w:space="0" w:color="D1C5C3" w:themeColor="accent3"/>
            </w:tcBorders>
            <w:shd w:val="clear" w:color="auto" w:fill="FBF9F9"/>
          </w:tcPr>
          <w:p w:rsidR="00815F28" w:rsidRPr="00600E3E" w:rsidRDefault="0045370B" w:rsidP="00430825">
            <w:pPr>
              <w:pStyle w:val="Tabel-BrdtekstmedafstandptekstGaramond"/>
              <w:rPr>
                <w:i/>
              </w:rPr>
            </w:pPr>
            <w:r>
              <w:rPr>
                <w:i/>
              </w:rPr>
              <w:t>Advokatsamfundet</w:t>
            </w:r>
          </w:p>
        </w:tc>
        <w:tc>
          <w:tcPr>
            <w:tcW w:w="189" w:type="dxa"/>
            <w:shd w:val="clear" w:color="auto" w:fill="FFFFFF" w:themeFill="background1"/>
          </w:tcPr>
          <w:p w:rsidR="00815F28" w:rsidRPr="00B5346F" w:rsidRDefault="00815F28" w:rsidP="00430825"/>
        </w:tc>
        <w:tc>
          <w:tcPr>
            <w:tcW w:w="3221" w:type="dxa"/>
            <w:tcBorders>
              <w:bottom w:val="single" w:sz="4" w:space="0" w:color="D1C5C3" w:themeColor="accent3"/>
            </w:tcBorders>
            <w:shd w:val="clear" w:color="auto" w:fill="FBF9F9"/>
          </w:tcPr>
          <w:p w:rsidR="00815F28" w:rsidRPr="00B5346F" w:rsidRDefault="00360D3F" w:rsidP="00430825">
            <w:pPr>
              <w:pStyle w:val="Tabel-BrdtekstmedafstandptekstGaramond"/>
            </w:pPr>
            <w:r>
              <w:t>Ingen bemærkninger</w:t>
            </w:r>
            <w:r w:rsidR="00EF0928">
              <w:t>.</w:t>
            </w:r>
          </w:p>
        </w:tc>
        <w:tc>
          <w:tcPr>
            <w:tcW w:w="204" w:type="dxa"/>
            <w:shd w:val="clear" w:color="auto" w:fill="FFFFFF" w:themeFill="background1"/>
          </w:tcPr>
          <w:p w:rsidR="00815F28" w:rsidRPr="00B5346F" w:rsidRDefault="00815F28" w:rsidP="00430825"/>
        </w:tc>
        <w:tc>
          <w:tcPr>
            <w:tcW w:w="3212" w:type="dxa"/>
            <w:tcBorders>
              <w:bottom w:val="single" w:sz="4" w:space="0" w:color="14143C" w:themeColor="accent1"/>
            </w:tcBorders>
            <w:shd w:val="clear" w:color="auto" w:fill="D2CED8"/>
          </w:tcPr>
          <w:p w:rsidR="00815F28" w:rsidRPr="00B5346F" w:rsidRDefault="00815F28" w:rsidP="00430825">
            <w:pPr>
              <w:pStyle w:val="Tabel-BrdtekstmedafstandptekstGaramond"/>
            </w:pPr>
          </w:p>
        </w:tc>
      </w:tr>
      <w:tr w:rsidR="0045370B" w:rsidRPr="00B5346F" w:rsidTr="0045370B">
        <w:tc>
          <w:tcPr>
            <w:tcW w:w="2813" w:type="dxa"/>
            <w:tcBorders>
              <w:bottom w:val="single" w:sz="4" w:space="0" w:color="D1C5C3" w:themeColor="accent3"/>
            </w:tcBorders>
            <w:shd w:val="clear" w:color="auto" w:fill="FBF9F9"/>
          </w:tcPr>
          <w:p w:rsidR="0045370B" w:rsidRPr="00600E3E" w:rsidRDefault="00956770" w:rsidP="00430825">
            <w:pPr>
              <w:pStyle w:val="Tabel-BrdtekstmedafstandptekstGaramond"/>
              <w:rPr>
                <w:i/>
              </w:rPr>
            </w:pPr>
            <w:r>
              <w:rPr>
                <w:i/>
              </w:rPr>
              <w:t>BL Danmarks Almene Boliger</w:t>
            </w:r>
          </w:p>
        </w:tc>
        <w:tc>
          <w:tcPr>
            <w:tcW w:w="189" w:type="dxa"/>
            <w:shd w:val="clear" w:color="auto" w:fill="FFFFFF" w:themeFill="background1"/>
          </w:tcPr>
          <w:p w:rsidR="0045370B" w:rsidRPr="00B5346F" w:rsidRDefault="0045370B" w:rsidP="00430825"/>
        </w:tc>
        <w:tc>
          <w:tcPr>
            <w:tcW w:w="3221" w:type="dxa"/>
            <w:tcBorders>
              <w:bottom w:val="single" w:sz="4" w:space="0" w:color="D1C5C3" w:themeColor="accent3"/>
            </w:tcBorders>
            <w:shd w:val="clear" w:color="auto" w:fill="FBF9F9"/>
          </w:tcPr>
          <w:p w:rsidR="0045370B" w:rsidRDefault="00ED3FF6" w:rsidP="00430825">
            <w:pPr>
              <w:pStyle w:val="Tabel-BrdtekstmedafstandptekstGaramond"/>
            </w:pPr>
            <w:r>
              <w:t>BL er enig i behovet for at u</w:t>
            </w:r>
            <w:r>
              <w:t>d</w:t>
            </w:r>
            <w:r>
              <w:t>vikle beregningsmodeller for erhvervsejendomme, herunder almene boliger, og undrer sig over, at lovforslaget primært f</w:t>
            </w:r>
            <w:r>
              <w:t>o</w:t>
            </w:r>
            <w:r>
              <w:t xml:space="preserve">kuserer på ejerboliger. </w:t>
            </w:r>
            <w:r w:rsidR="00A36204">
              <w:t>Nedsl</w:t>
            </w:r>
            <w:r w:rsidR="00A36204">
              <w:t>a</w:t>
            </w:r>
            <w:r w:rsidR="00A36204">
              <w:t>get på 2,5 pct. i grundværdien er helt nødvendigt, men der vil v</w:t>
            </w:r>
            <w:r w:rsidR="00A36204">
              <w:t>æ</w:t>
            </w:r>
            <w:r w:rsidR="00A36204">
              <w:t>re forskelsbehandling i forhold til ejerboliger på tre punkter:</w:t>
            </w:r>
          </w:p>
          <w:p w:rsidR="00A36204" w:rsidRDefault="00A36204" w:rsidP="00430825">
            <w:pPr>
              <w:pStyle w:val="Tabel-BrdtekstmedafstandptekstGaramond"/>
            </w:pPr>
          </w:p>
          <w:p w:rsidR="00A36204" w:rsidRDefault="00A36204" w:rsidP="00A36204">
            <w:pPr>
              <w:pStyle w:val="Tabel-BrdtekstmedafstandptekstGaramond"/>
            </w:pPr>
            <w:r w:rsidRPr="00A36204">
              <w:rPr>
                <w:u w:val="single"/>
              </w:rPr>
              <w:t>1.</w:t>
            </w:r>
            <w:r>
              <w:t xml:space="preserve"> Nedslaget på 2,5 pct. gives i praksis først med virkning fra 2017, da det gives som nedslag i den vurdering, der findes pr. 1. oktober 2015. Nedslaget burde gives i vurderingen fra 2012 med virkning fra 2014.</w:t>
            </w:r>
          </w:p>
          <w:p w:rsidR="00A36204" w:rsidRDefault="00A36204" w:rsidP="00A36204">
            <w:pPr>
              <w:pStyle w:val="Tabel-BrdtekstmedafstandptekstGaramond"/>
            </w:pPr>
          </w:p>
          <w:p w:rsidR="005C5639" w:rsidRDefault="005C5639" w:rsidP="00A36204">
            <w:pPr>
              <w:pStyle w:val="Tabel-BrdtekstmedafstandptekstGaramond"/>
            </w:pPr>
          </w:p>
          <w:p w:rsidR="005C5639" w:rsidRDefault="005C5639" w:rsidP="00A36204">
            <w:pPr>
              <w:pStyle w:val="Tabel-BrdtekstmedafstandptekstGaramond"/>
            </w:pPr>
          </w:p>
          <w:p w:rsidR="005C5639" w:rsidRDefault="005C5639" w:rsidP="00A36204">
            <w:pPr>
              <w:pStyle w:val="Tabel-BrdtekstmedafstandptekstGaramond"/>
            </w:pPr>
          </w:p>
          <w:p w:rsidR="005C5639" w:rsidRDefault="005C5639" w:rsidP="00A36204">
            <w:pPr>
              <w:pStyle w:val="Tabel-BrdtekstmedafstandptekstGaramond"/>
            </w:pPr>
          </w:p>
          <w:p w:rsidR="005C5639" w:rsidRDefault="005C5639" w:rsidP="00A36204">
            <w:pPr>
              <w:pStyle w:val="Tabel-BrdtekstmedafstandptekstGaramond"/>
            </w:pPr>
          </w:p>
          <w:p w:rsidR="00A36204" w:rsidRDefault="00A36204" w:rsidP="00A36204">
            <w:pPr>
              <w:pStyle w:val="Tabel-BrdtekstmedafstandptekstGaramond"/>
            </w:pPr>
            <w:r>
              <w:rPr>
                <w:u w:val="single"/>
              </w:rPr>
              <w:t>2.</w:t>
            </w:r>
            <w:r>
              <w:t xml:space="preserve"> Den ekstra rabat på op til 2,5 pct., som gives til de billigste ejerboliger, kommer ikke de a</w:t>
            </w:r>
            <w:r>
              <w:t>l</w:t>
            </w:r>
            <w:r>
              <w:t>mene boliger til gode. Nedslaget bør også gives til lejeboligeje</w:t>
            </w:r>
            <w:r>
              <w:t>n</w:t>
            </w:r>
            <w:r>
              <w:t>domme med en grundværdi på op til 250.000 kr. pr. lejlighed.</w:t>
            </w:r>
          </w:p>
          <w:p w:rsidR="00846B9F" w:rsidRDefault="00846B9F" w:rsidP="00A36204">
            <w:pPr>
              <w:pStyle w:val="Tabel-BrdtekstmedafstandptekstGaramond"/>
            </w:pPr>
          </w:p>
          <w:p w:rsidR="00ED3FF6" w:rsidRPr="00B5346F" w:rsidRDefault="00A36204" w:rsidP="00846B9F">
            <w:pPr>
              <w:pStyle w:val="Tabel-BrdtekstmedafstandptekstGaramond"/>
            </w:pPr>
            <w:r>
              <w:rPr>
                <w:u w:val="single"/>
              </w:rPr>
              <w:t>3.</w:t>
            </w:r>
            <w:r>
              <w:t xml:space="preserve"> </w:t>
            </w:r>
            <w:r w:rsidR="00F36143">
              <w:t>Det er en ulogisk forskelsb</w:t>
            </w:r>
            <w:r w:rsidR="00F36143">
              <w:t>e</w:t>
            </w:r>
            <w:r w:rsidR="00F36143">
              <w:t>handling, at kun ejerboliger vil være omfattet af den automat</w:t>
            </w:r>
            <w:r w:rsidR="00F36143">
              <w:t>i</w:t>
            </w:r>
            <w:r w:rsidR="00F36143">
              <w:t>ske udbetalingsordning i tilfæ</w:t>
            </w:r>
            <w:r w:rsidR="00F36143">
              <w:t>l</w:t>
            </w:r>
            <w:r w:rsidR="00F36143">
              <w:t>de, hvor 2017-vurderingen viser sig at være lavere end 2011-vurderingen.</w:t>
            </w:r>
          </w:p>
        </w:tc>
        <w:tc>
          <w:tcPr>
            <w:tcW w:w="204" w:type="dxa"/>
            <w:shd w:val="clear" w:color="auto" w:fill="FFFFFF" w:themeFill="background1"/>
          </w:tcPr>
          <w:p w:rsidR="0045370B" w:rsidRPr="00B5346F" w:rsidRDefault="0045370B" w:rsidP="00430825"/>
        </w:tc>
        <w:tc>
          <w:tcPr>
            <w:tcW w:w="3212" w:type="dxa"/>
            <w:tcBorders>
              <w:bottom w:val="single" w:sz="4" w:space="0" w:color="14143C" w:themeColor="accent1"/>
            </w:tcBorders>
            <w:shd w:val="clear" w:color="auto" w:fill="D2CED8"/>
          </w:tcPr>
          <w:p w:rsidR="0045370B" w:rsidRDefault="0045370B" w:rsidP="00430825">
            <w:pPr>
              <w:pStyle w:val="Tabel-BrdtekstmedafstandptekstGaramond"/>
            </w:pPr>
          </w:p>
          <w:p w:rsidR="00F36143" w:rsidRDefault="00F36143" w:rsidP="00430825">
            <w:pPr>
              <w:pStyle w:val="Tabel-BrdtekstmedafstandptekstGaramond"/>
            </w:pPr>
          </w:p>
          <w:p w:rsidR="00F36143" w:rsidRDefault="00F36143" w:rsidP="00430825">
            <w:pPr>
              <w:pStyle w:val="Tabel-BrdtekstmedafstandptekstGaramond"/>
            </w:pPr>
          </w:p>
          <w:p w:rsidR="00F36143" w:rsidRDefault="00F36143" w:rsidP="00430825">
            <w:pPr>
              <w:pStyle w:val="Tabel-BrdtekstmedafstandptekstGaramond"/>
            </w:pPr>
          </w:p>
          <w:p w:rsidR="00F36143" w:rsidRDefault="00F36143" w:rsidP="00430825">
            <w:pPr>
              <w:pStyle w:val="Tabel-BrdtekstmedafstandptekstGaramond"/>
            </w:pPr>
          </w:p>
          <w:p w:rsidR="00F36143" w:rsidRDefault="00F36143" w:rsidP="00430825">
            <w:pPr>
              <w:pStyle w:val="Tabel-BrdtekstmedafstandptekstGaramond"/>
            </w:pPr>
          </w:p>
          <w:p w:rsidR="00F36143" w:rsidRDefault="00F36143" w:rsidP="00430825">
            <w:pPr>
              <w:pStyle w:val="Tabel-BrdtekstmedafstandptekstGaramond"/>
            </w:pPr>
          </w:p>
          <w:p w:rsidR="00F36143" w:rsidRDefault="00F36143" w:rsidP="00430825">
            <w:pPr>
              <w:pStyle w:val="Tabel-BrdtekstmedafstandptekstGaramond"/>
            </w:pPr>
          </w:p>
          <w:p w:rsidR="00F36143" w:rsidRDefault="00F36143" w:rsidP="00430825">
            <w:pPr>
              <w:pStyle w:val="Tabel-BrdtekstmedafstandptekstGaramond"/>
            </w:pPr>
          </w:p>
          <w:p w:rsidR="00F36143" w:rsidRDefault="00F36143" w:rsidP="00430825">
            <w:pPr>
              <w:pStyle w:val="Tabel-BrdtekstmedafstandptekstGaramond"/>
            </w:pPr>
          </w:p>
          <w:p w:rsidR="00F36143" w:rsidRDefault="00F36143" w:rsidP="00430825">
            <w:pPr>
              <w:pStyle w:val="Tabel-BrdtekstmedafstandptekstGaramond"/>
            </w:pPr>
          </w:p>
          <w:p w:rsidR="005C5639" w:rsidRDefault="005C5639" w:rsidP="0094727B">
            <w:pPr>
              <w:pStyle w:val="Tabel-BrdtekstmedafstandptekstGaramond"/>
            </w:pPr>
            <w:r>
              <w:t>Den gældende lovgivning by</w:t>
            </w:r>
            <w:r>
              <w:t>g</w:t>
            </w:r>
            <w:r>
              <w:t>ger på en forudsætning om, at alle ejendomme skulle vurderes i 2015 med anvendelse af et nyt vurderingssystem. Det betød en videreførelse af 2012-vurderingerne med ét år. Nu f</w:t>
            </w:r>
            <w:r>
              <w:t>o</w:t>
            </w:r>
            <w:r>
              <w:t>reslås der en videreførelse i yderligere tre år. Regeringen finder det på denne baggrund rimeligt at give rabatten i de v</w:t>
            </w:r>
            <w:r>
              <w:t>i</w:t>
            </w:r>
            <w:r>
              <w:t>dereførte vurderinger.</w:t>
            </w:r>
          </w:p>
          <w:p w:rsidR="005C5639" w:rsidRDefault="005C5639" w:rsidP="0094727B">
            <w:pPr>
              <w:pStyle w:val="Tabel-BrdtekstmedafstandptekstGaramond"/>
            </w:pPr>
          </w:p>
          <w:p w:rsidR="00F36143" w:rsidRDefault="005C5639" w:rsidP="0094727B">
            <w:pPr>
              <w:pStyle w:val="Tabel-BrdtekstmedafstandptekstGaramond"/>
            </w:pPr>
            <w:r>
              <w:t>Bag</w:t>
            </w:r>
            <w:r w:rsidR="003A0749">
              <w:t xml:space="preserve">grunden for den ekstra rabat er, at Engberg-udvalget </w:t>
            </w:r>
            <w:r w:rsidR="00112EB6">
              <w:t xml:space="preserve">har konstateret en tendens </w:t>
            </w:r>
            <w:r w:rsidR="00735294">
              <w:t>til</w:t>
            </w:r>
            <w:r w:rsidR="00112EB6">
              <w:t xml:space="preserve">, at de billigste ejerboliger vurderes for højt. </w:t>
            </w:r>
          </w:p>
          <w:p w:rsidR="00735294" w:rsidRDefault="00735294" w:rsidP="0094727B">
            <w:pPr>
              <w:pStyle w:val="Tabel-BrdtekstmedafstandptekstGaramond"/>
            </w:pPr>
          </w:p>
          <w:p w:rsidR="00735294" w:rsidRDefault="00735294" w:rsidP="0094727B">
            <w:pPr>
              <w:pStyle w:val="Tabel-BrdtekstmedafstandptekstGaramond"/>
            </w:pPr>
          </w:p>
          <w:p w:rsidR="0094727B" w:rsidRDefault="0094727B" w:rsidP="0094727B">
            <w:pPr>
              <w:pStyle w:val="Tabel-BrdtekstmedafstandptekstGaramond"/>
            </w:pPr>
          </w:p>
          <w:p w:rsidR="00846B9F" w:rsidRPr="00B5346F" w:rsidRDefault="00846B9F" w:rsidP="00846B9F">
            <w:pPr>
              <w:pStyle w:val="Tabel-BrdtekstmedafstandptekstGaramond"/>
            </w:pPr>
            <w:r>
              <w:t>Udbetalingsordningen indgår ikke i det fremsatte lovforslag. Ordningen vil skulle etableres i forbindelse med den lovgivning, der skal ligge til grund for et fremtidigt vurderingssystem.</w:t>
            </w:r>
          </w:p>
        </w:tc>
      </w:tr>
      <w:tr w:rsidR="0045370B" w:rsidRPr="00B5346F" w:rsidTr="0045370B">
        <w:tc>
          <w:tcPr>
            <w:tcW w:w="2813" w:type="dxa"/>
            <w:tcBorders>
              <w:bottom w:val="single" w:sz="4" w:space="0" w:color="D1C5C3" w:themeColor="accent3"/>
            </w:tcBorders>
            <w:shd w:val="clear" w:color="auto" w:fill="FBF9F9"/>
          </w:tcPr>
          <w:p w:rsidR="0045370B" w:rsidRPr="00600E3E" w:rsidRDefault="0045370B" w:rsidP="00430825">
            <w:pPr>
              <w:pStyle w:val="Tabel-BrdtekstmedafstandptekstGaramond"/>
              <w:rPr>
                <w:i/>
              </w:rPr>
            </w:pPr>
            <w:r>
              <w:rPr>
                <w:i/>
              </w:rPr>
              <w:lastRenderedPageBreak/>
              <w:t>Dansk Byggeri</w:t>
            </w:r>
          </w:p>
        </w:tc>
        <w:tc>
          <w:tcPr>
            <w:tcW w:w="189" w:type="dxa"/>
            <w:shd w:val="clear" w:color="auto" w:fill="FFFFFF" w:themeFill="background1"/>
          </w:tcPr>
          <w:p w:rsidR="0045370B" w:rsidRPr="00B5346F" w:rsidRDefault="0045370B" w:rsidP="00430825"/>
        </w:tc>
        <w:tc>
          <w:tcPr>
            <w:tcW w:w="3221" w:type="dxa"/>
            <w:tcBorders>
              <w:bottom w:val="single" w:sz="4" w:space="0" w:color="D1C5C3" w:themeColor="accent3"/>
            </w:tcBorders>
            <w:shd w:val="clear" w:color="auto" w:fill="FBF9F9"/>
          </w:tcPr>
          <w:p w:rsidR="00A43678" w:rsidRDefault="00A43678" w:rsidP="00A43678">
            <w:pPr>
              <w:pStyle w:val="Tabel-BrdtekstmedafstandptekstGaramond"/>
            </w:pPr>
            <w:r>
              <w:t>Dansk Byggeri savner en b</w:t>
            </w:r>
            <w:r>
              <w:t>e</w:t>
            </w:r>
            <w:r>
              <w:t>grundelse for, hvorfor man ikke har taget hensyn til, at 2012-vurderingen af erhvervseje</w:t>
            </w:r>
            <w:r>
              <w:t>n</w:t>
            </w:r>
            <w:r>
              <w:t>domme kan være upræcis. E</w:t>
            </w:r>
            <w:r>
              <w:t>r</w:t>
            </w:r>
            <w:r>
              <w:t>hvervsejendomme bør derfor behandles på samme måde som ejerboliger. Dansk Byggeri er dog bekymret for, om et ne</w:t>
            </w:r>
            <w:r>
              <w:t>d</w:t>
            </w:r>
            <w:r>
              <w:t>slag på mellem 2,5 pct. og 5 pct. af ejendomsværdien er tilstræ</w:t>
            </w:r>
            <w:r>
              <w:t>k</w:t>
            </w:r>
            <w:r>
              <w:t xml:space="preserve">keligt. </w:t>
            </w:r>
          </w:p>
          <w:p w:rsidR="00B85C8B" w:rsidRDefault="00B85C8B" w:rsidP="00A43678">
            <w:pPr>
              <w:pStyle w:val="Tabel-BrdtekstmedafstandptekstGaramond"/>
            </w:pPr>
          </w:p>
          <w:p w:rsidR="00B85C8B" w:rsidRDefault="00B85C8B" w:rsidP="00A43678">
            <w:pPr>
              <w:pStyle w:val="Tabel-BrdtekstmedafstandptekstGaramond"/>
            </w:pPr>
          </w:p>
          <w:p w:rsidR="00A43678" w:rsidRDefault="00A43678" w:rsidP="00A43678">
            <w:pPr>
              <w:pStyle w:val="Tabel-BrdtekstmedafstandptekstGaramond"/>
            </w:pPr>
          </w:p>
          <w:p w:rsidR="00B85C8B" w:rsidRDefault="00B85C8B" w:rsidP="00A43678">
            <w:pPr>
              <w:pStyle w:val="Tabel-BrdtekstmedafstandptekstGaramond"/>
            </w:pPr>
          </w:p>
          <w:p w:rsidR="00B85C8B" w:rsidRDefault="00B85C8B" w:rsidP="00A43678">
            <w:pPr>
              <w:pStyle w:val="Tabel-BrdtekstmedafstandptekstGaramond"/>
            </w:pPr>
          </w:p>
          <w:p w:rsidR="00027B77" w:rsidRDefault="00027B77" w:rsidP="00A43678">
            <w:pPr>
              <w:pStyle w:val="Tabel-BrdtekstmedafstandptekstGaramond"/>
            </w:pPr>
          </w:p>
          <w:p w:rsidR="00027B77" w:rsidRDefault="00027B77" w:rsidP="00A43678">
            <w:pPr>
              <w:pStyle w:val="Tabel-BrdtekstmedafstandptekstGaramond"/>
            </w:pPr>
          </w:p>
          <w:p w:rsidR="00027B77" w:rsidRDefault="00027B77" w:rsidP="00A43678">
            <w:pPr>
              <w:pStyle w:val="Tabel-BrdtekstmedafstandptekstGaramond"/>
            </w:pPr>
          </w:p>
          <w:p w:rsidR="00027B77" w:rsidRDefault="00027B77" w:rsidP="00A43678">
            <w:pPr>
              <w:pStyle w:val="Tabel-BrdtekstmedafstandptekstGaramond"/>
            </w:pPr>
          </w:p>
          <w:p w:rsidR="00027B77" w:rsidRDefault="00027B77" w:rsidP="00A43678">
            <w:pPr>
              <w:pStyle w:val="Tabel-BrdtekstmedafstandptekstGaramond"/>
            </w:pPr>
          </w:p>
          <w:p w:rsidR="00997A18" w:rsidRDefault="00997A18" w:rsidP="00A43678">
            <w:pPr>
              <w:pStyle w:val="Tabel-BrdtekstmedafstandptekstGaramond"/>
            </w:pPr>
          </w:p>
          <w:p w:rsidR="00997A18" w:rsidRDefault="00997A18" w:rsidP="00A43678">
            <w:pPr>
              <w:pStyle w:val="Tabel-BrdtekstmedafstandptekstGaramond"/>
            </w:pPr>
          </w:p>
          <w:p w:rsidR="00997A18" w:rsidRDefault="00997A18" w:rsidP="00A43678">
            <w:pPr>
              <w:pStyle w:val="Tabel-BrdtekstmedafstandptekstGaramond"/>
            </w:pPr>
          </w:p>
          <w:p w:rsidR="00997A18" w:rsidRDefault="00997A18" w:rsidP="00A43678">
            <w:pPr>
              <w:pStyle w:val="Tabel-BrdtekstmedafstandptekstGaramond"/>
            </w:pPr>
          </w:p>
          <w:p w:rsidR="00997A18" w:rsidRDefault="00997A18" w:rsidP="00A43678">
            <w:pPr>
              <w:pStyle w:val="Tabel-BrdtekstmedafstandptekstGaramond"/>
            </w:pPr>
          </w:p>
          <w:p w:rsidR="00997A18" w:rsidRDefault="00997A18" w:rsidP="00A43678">
            <w:pPr>
              <w:pStyle w:val="Tabel-BrdtekstmedafstandptekstGaramond"/>
            </w:pPr>
          </w:p>
          <w:p w:rsidR="00997A18" w:rsidRDefault="00997A18" w:rsidP="00A43678">
            <w:pPr>
              <w:pStyle w:val="Tabel-BrdtekstmedafstandptekstGaramond"/>
            </w:pPr>
          </w:p>
          <w:p w:rsidR="00997A18" w:rsidRDefault="00997A18" w:rsidP="00A43678">
            <w:pPr>
              <w:pStyle w:val="Tabel-BrdtekstmedafstandptekstGaramond"/>
            </w:pPr>
          </w:p>
          <w:p w:rsidR="00997A18" w:rsidRDefault="00997A18" w:rsidP="00A43678">
            <w:pPr>
              <w:pStyle w:val="Tabel-BrdtekstmedafstandptekstGaramond"/>
            </w:pPr>
          </w:p>
          <w:p w:rsidR="00997A18" w:rsidRDefault="00997A18" w:rsidP="00A43678">
            <w:pPr>
              <w:pStyle w:val="Tabel-BrdtekstmedafstandptekstGaramond"/>
            </w:pPr>
          </w:p>
          <w:p w:rsidR="00997A18" w:rsidRDefault="00997A18" w:rsidP="00A43678">
            <w:pPr>
              <w:pStyle w:val="Tabel-BrdtekstmedafstandptekstGaramond"/>
            </w:pPr>
          </w:p>
          <w:p w:rsidR="00997A18" w:rsidRDefault="00997A18" w:rsidP="00A43678">
            <w:pPr>
              <w:pStyle w:val="Tabel-BrdtekstmedafstandptekstGaramond"/>
            </w:pPr>
          </w:p>
          <w:p w:rsidR="00997A18" w:rsidRDefault="00997A18" w:rsidP="00A43678">
            <w:pPr>
              <w:pStyle w:val="Tabel-BrdtekstmedafstandptekstGaramond"/>
            </w:pPr>
          </w:p>
          <w:p w:rsidR="00997A18" w:rsidRDefault="00997A18" w:rsidP="00A43678">
            <w:pPr>
              <w:pStyle w:val="Tabel-BrdtekstmedafstandptekstGaramond"/>
            </w:pPr>
          </w:p>
          <w:p w:rsidR="00997A18" w:rsidRDefault="00997A18" w:rsidP="00A43678">
            <w:pPr>
              <w:pStyle w:val="Tabel-BrdtekstmedafstandptekstGaramond"/>
            </w:pPr>
          </w:p>
          <w:p w:rsidR="000735F9" w:rsidRDefault="000735F9" w:rsidP="00A43678">
            <w:pPr>
              <w:pStyle w:val="Tabel-BrdtekstmedafstandptekstGaramond"/>
            </w:pPr>
          </w:p>
          <w:p w:rsidR="00027B77" w:rsidRDefault="00027B77" w:rsidP="00A43678">
            <w:pPr>
              <w:pStyle w:val="Tabel-BrdtekstmedafstandptekstGaramond"/>
            </w:pPr>
          </w:p>
          <w:p w:rsidR="00B85C8B" w:rsidRDefault="00B85C8B" w:rsidP="00A43678">
            <w:pPr>
              <w:pStyle w:val="Tabel-BrdtekstmedafstandptekstGaramond"/>
            </w:pPr>
          </w:p>
          <w:p w:rsidR="00421B09" w:rsidRDefault="00421B09" w:rsidP="00A43678">
            <w:pPr>
              <w:pStyle w:val="Tabel-BrdtekstmedafstandptekstGaramond"/>
            </w:pPr>
          </w:p>
          <w:p w:rsidR="00B85C8B" w:rsidRDefault="00B85C8B" w:rsidP="00A43678">
            <w:pPr>
              <w:pStyle w:val="Tabel-BrdtekstmedafstandptekstGaramond"/>
            </w:pPr>
          </w:p>
          <w:p w:rsidR="00A43678" w:rsidRDefault="00964C35" w:rsidP="00A43678">
            <w:pPr>
              <w:pStyle w:val="Tabel-BrdtekstmedafstandptekstGaramond"/>
            </w:pPr>
            <w:r>
              <w:t>Dansk Byggeri mener, at klag</w:t>
            </w:r>
            <w:r>
              <w:t>e</w:t>
            </w:r>
            <w:r>
              <w:lastRenderedPageBreak/>
              <w:t xml:space="preserve">systemet er nøglen </w:t>
            </w:r>
            <w:r w:rsidR="006A5936">
              <w:t>t</w:t>
            </w:r>
            <w:r>
              <w:t>il retssi</w:t>
            </w:r>
            <w:r>
              <w:t>k</w:t>
            </w:r>
            <w:r>
              <w:t>kerhedsmæssig succes i forhold til ejere af fast ejendom. Dansk Byggeri må derfor skarpt prot</w:t>
            </w:r>
            <w:r>
              <w:t>e</w:t>
            </w:r>
            <w:r>
              <w:t>stere mod, at klageadgangen u</w:t>
            </w:r>
            <w:r>
              <w:t>d</w:t>
            </w:r>
            <w:r>
              <w:t>skydes. Borgerne kommer ufo</w:t>
            </w:r>
            <w:r>
              <w:t>r</w:t>
            </w:r>
            <w:r>
              <w:t>varende til at agere kassekredit for staten, ligesom borgerne t</w:t>
            </w:r>
            <w:r>
              <w:t>a</w:t>
            </w:r>
            <w:r>
              <w:t>ges som gidsler i et system, som SKAT har vidst var ”forkert” siden 2007.</w:t>
            </w:r>
          </w:p>
          <w:p w:rsidR="004C2D1C" w:rsidRDefault="004C2D1C" w:rsidP="00A43678">
            <w:pPr>
              <w:pStyle w:val="Tabel-BrdtekstmedafstandptekstGaramond"/>
            </w:pPr>
          </w:p>
          <w:p w:rsidR="004C2D1C" w:rsidRDefault="004C2D1C" w:rsidP="00A43678">
            <w:pPr>
              <w:pStyle w:val="Tabel-BrdtekstmedafstandptekstGaramond"/>
            </w:pPr>
          </w:p>
          <w:p w:rsidR="004C2D1C" w:rsidRDefault="004C2D1C" w:rsidP="00A43678">
            <w:pPr>
              <w:pStyle w:val="Tabel-BrdtekstmedafstandptekstGaramond"/>
            </w:pPr>
          </w:p>
          <w:p w:rsidR="004C2D1C" w:rsidRDefault="004C2D1C" w:rsidP="00A43678">
            <w:pPr>
              <w:pStyle w:val="Tabel-BrdtekstmedafstandptekstGaramond"/>
            </w:pPr>
          </w:p>
          <w:p w:rsidR="004C2D1C" w:rsidRDefault="004C2D1C" w:rsidP="00A43678">
            <w:pPr>
              <w:pStyle w:val="Tabel-BrdtekstmedafstandptekstGaramond"/>
            </w:pPr>
          </w:p>
          <w:p w:rsidR="004C2D1C" w:rsidRDefault="004C2D1C" w:rsidP="00A43678">
            <w:pPr>
              <w:pStyle w:val="Tabel-BrdtekstmedafstandptekstGaramond"/>
            </w:pPr>
          </w:p>
          <w:p w:rsidR="004C2D1C" w:rsidRDefault="004C2D1C" w:rsidP="00A43678">
            <w:pPr>
              <w:pStyle w:val="Tabel-BrdtekstmedafstandptekstGaramond"/>
            </w:pPr>
          </w:p>
          <w:p w:rsidR="004C2D1C" w:rsidRDefault="004C2D1C" w:rsidP="00A43678">
            <w:pPr>
              <w:pStyle w:val="Tabel-BrdtekstmedafstandptekstGaramond"/>
            </w:pPr>
          </w:p>
          <w:p w:rsidR="004C2D1C" w:rsidRDefault="004C2D1C" w:rsidP="00A43678">
            <w:pPr>
              <w:pStyle w:val="Tabel-BrdtekstmedafstandptekstGaramond"/>
            </w:pPr>
          </w:p>
          <w:p w:rsidR="004C2D1C" w:rsidRDefault="004C2D1C" w:rsidP="00A43678">
            <w:pPr>
              <w:pStyle w:val="Tabel-BrdtekstmedafstandptekstGaramond"/>
            </w:pPr>
          </w:p>
          <w:p w:rsidR="00977ED4" w:rsidRDefault="00977ED4" w:rsidP="00A43678">
            <w:pPr>
              <w:pStyle w:val="Tabel-BrdtekstmedafstandptekstGaramond"/>
            </w:pPr>
          </w:p>
          <w:p w:rsidR="00977ED4" w:rsidRDefault="00977ED4" w:rsidP="00A43678">
            <w:pPr>
              <w:pStyle w:val="Tabel-BrdtekstmedafstandptekstGaramond"/>
            </w:pPr>
          </w:p>
          <w:p w:rsidR="00977ED4" w:rsidRDefault="00977ED4" w:rsidP="00A43678">
            <w:pPr>
              <w:pStyle w:val="Tabel-BrdtekstmedafstandptekstGaramond"/>
            </w:pPr>
          </w:p>
          <w:p w:rsidR="008A1E22" w:rsidRDefault="008A1E22" w:rsidP="00A43678">
            <w:pPr>
              <w:pStyle w:val="Tabel-BrdtekstmedafstandptekstGaramond"/>
            </w:pPr>
          </w:p>
          <w:p w:rsidR="004C2D1C" w:rsidRDefault="004C2D1C" w:rsidP="00A43678">
            <w:pPr>
              <w:pStyle w:val="Tabel-BrdtekstmedafstandptekstGaramond"/>
            </w:pPr>
          </w:p>
          <w:p w:rsidR="00964C35" w:rsidRDefault="00964C35" w:rsidP="00A43678">
            <w:pPr>
              <w:pStyle w:val="Tabel-BrdtekstmedafstandptekstGaramond"/>
            </w:pPr>
          </w:p>
          <w:p w:rsidR="00964C35" w:rsidRDefault="00964C35" w:rsidP="00A43678">
            <w:pPr>
              <w:pStyle w:val="Tabel-BrdtekstmedafstandptekstGaramond"/>
            </w:pPr>
            <w:r>
              <w:t>Dansk Byggeri vil gerne allerede nu have en debat om nogle af de grundlæggende principper i et nyt ejendomsvurderingss</w:t>
            </w:r>
            <w:r>
              <w:t>y</w:t>
            </w:r>
            <w:r>
              <w:t>stem. Det gælder bl.a.:</w:t>
            </w:r>
          </w:p>
          <w:p w:rsidR="00964C35" w:rsidRDefault="00964C35" w:rsidP="00A43678">
            <w:pPr>
              <w:pStyle w:val="Tabel-BrdtekstmedafstandptekstGaramond"/>
            </w:pPr>
          </w:p>
          <w:p w:rsidR="00964C35" w:rsidRDefault="00964C35" w:rsidP="00964C35">
            <w:pPr>
              <w:pStyle w:val="Tabel-BrdtekstmedafstandptekstGaramond"/>
              <w:numPr>
                <w:ilvl w:val="0"/>
                <w:numId w:val="15"/>
              </w:numPr>
            </w:pPr>
            <w:r>
              <w:t>Den efterhånden kunstige skelnen mellem ejendom</w:t>
            </w:r>
            <w:r>
              <w:t>s</w:t>
            </w:r>
            <w:r>
              <w:t>værdi og grundværdi.</w:t>
            </w:r>
          </w:p>
          <w:p w:rsidR="00964C35" w:rsidRDefault="00964C35" w:rsidP="00964C35">
            <w:pPr>
              <w:pStyle w:val="Tabel-BrdtekstmedafstandptekstGaramond"/>
              <w:numPr>
                <w:ilvl w:val="0"/>
                <w:numId w:val="15"/>
              </w:numPr>
            </w:pPr>
            <w:r>
              <w:t>Fremtiden for fradrag for grundforbedringer, som muligvis kunne suppleres med en skrotningspræmie for gamle huse.</w:t>
            </w:r>
          </w:p>
          <w:p w:rsidR="00964C35" w:rsidRDefault="00964C35" w:rsidP="00964C35">
            <w:pPr>
              <w:pStyle w:val="Tabel-BrdtekstmedafstandptekstGaramond"/>
              <w:numPr>
                <w:ilvl w:val="0"/>
                <w:numId w:val="15"/>
              </w:numPr>
            </w:pPr>
            <w:r>
              <w:t>Grundskatteloftet, som holdes skjult for boligej</w:t>
            </w:r>
            <w:r>
              <w:t>e</w:t>
            </w:r>
            <w:r>
              <w:t>ren.</w:t>
            </w:r>
          </w:p>
          <w:p w:rsidR="0045370B" w:rsidRPr="00B5346F" w:rsidRDefault="00964C35" w:rsidP="00B83029">
            <w:pPr>
              <w:pStyle w:val="Tabel-BrdtekstmedafstandptekstGaramond"/>
              <w:numPr>
                <w:ilvl w:val="0"/>
                <w:numId w:val="15"/>
              </w:numPr>
            </w:pPr>
            <w:r>
              <w:lastRenderedPageBreak/>
              <w:t>Beskatningsværdien for ejerboliggrunde, som evt. kunne fastsættes som en fast andel af ejendomsvæ</w:t>
            </w:r>
            <w:r>
              <w:t>r</w:t>
            </w:r>
            <w:r>
              <w:t>dien, som Engberg-udvalget har foreslået.</w:t>
            </w:r>
          </w:p>
        </w:tc>
        <w:tc>
          <w:tcPr>
            <w:tcW w:w="204" w:type="dxa"/>
            <w:shd w:val="clear" w:color="auto" w:fill="FFFFFF" w:themeFill="background1"/>
          </w:tcPr>
          <w:p w:rsidR="0045370B" w:rsidRPr="00B5346F" w:rsidRDefault="0045370B" w:rsidP="00430825"/>
        </w:tc>
        <w:tc>
          <w:tcPr>
            <w:tcW w:w="3212" w:type="dxa"/>
            <w:tcBorders>
              <w:bottom w:val="single" w:sz="4" w:space="0" w:color="14143C" w:themeColor="accent1"/>
            </w:tcBorders>
            <w:shd w:val="clear" w:color="auto" w:fill="D2CED8"/>
          </w:tcPr>
          <w:p w:rsidR="00BD24FE" w:rsidRDefault="00BD24FE" w:rsidP="00B85C8B">
            <w:pPr>
              <w:pStyle w:val="Tabel-BrdtekstmedafstandptekstGaramond"/>
            </w:pPr>
            <w:r>
              <w:t xml:space="preserve">Rigsrevisionen </w:t>
            </w:r>
            <w:r w:rsidR="004B0178">
              <w:t>kritiserede især</w:t>
            </w:r>
            <w:r>
              <w:t xml:space="preserve"> 2011-vurderingen af ejerboliger. </w:t>
            </w:r>
            <w:r w:rsidR="004B0178">
              <w:t>2011-vurderingen blev vider</w:t>
            </w:r>
            <w:r w:rsidR="004B0178">
              <w:t>e</w:t>
            </w:r>
            <w:r w:rsidR="004B0178">
              <w:t>ført som en 2013-vurdering</w:t>
            </w:r>
            <w:r w:rsidR="008826C6">
              <w:t>. Vurderingen blev dog nedsat med 2,5 pct. for at tage hensyn til, at 2011-vurderingen kunne være upræcis. Tages der højde for den underliggende prisu</w:t>
            </w:r>
            <w:r w:rsidR="008826C6">
              <w:t>d</w:t>
            </w:r>
            <w:r w:rsidR="008826C6">
              <w:t>vikling blev den reale nedsætte</w:t>
            </w:r>
            <w:r w:rsidR="008826C6">
              <w:t>l</w:t>
            </w:r>
            <w:r w:rsidR="008826C6">
              <w:t>se af vurderingen i 2013 op mod 5 pct.</w:t>
            </w:r>
          </w:p>
          <w:p w:rsidR="008826C6" w:rsidRDefault="008826C6" w:rsidP="00B85C8B">
            <w:pPr>
              <w:pStyle w:val="Tabel-BrdtekstmedafstandptekstGaramond"/>
            </w:pPr>
          </w:p>
          <w:p w:rsidR="008826C6" w:rsidRDefault="00997A18" w:rsidP="00B85C8B">
            <w:pPr>
              <w:pStyle w:val="Tabel-BrdtekstmedafstandptekstGaramond"/>
            </w:pPr>
            <w:r>
              <w:t>Det må antages, at prisudvikli</w:t>
            </w:r>
            <w:r>
              <w:t>n</w:t>
            </w:r>
            <w:r>
              <w:t>gen for erhvervsejendomme har været tilsvarende positiv. E</w:t>
            </w:r>
            <w:r>
              <w:t>r</w:t>
            </w:r>
            <w:r>
              <w:t>hvervsejendomme får hermed indirekte en rabat i form af manglende justering af vurd</w:t>
            </w:r>
            <w:r>
              <w:t>e</w:t>
            </w:r>
            <w:r>
              <w:t>ringerne i takt med prisudvi</w:t>
            </w:r>
            <w:r>
              <w:t>k</w:t>
            </w:r>
            <w:r>
              <w:t>lingen.</w:t>
            </w:r>
          </w:p>
          <w:p w:rsidR="000735F9" w:rsidRDefault="000735F9" w:rsidP="00B85C8B">
            <w:pPr>
              <w:pStyle w:val="Tabel-BrdtekstmedafstandptekstGaramond"/>
            </w:pPr>
          </w:p>
          <w:p w:rsidR="0045370B" w:rsidRDefault="00F55DE8" w:rsidP="00B85C8B">
            <w:pPr>
              <w:pStyle w:val="Tabel-BrdtekstmedafstandptekstGaramond"/>
            </w:pPr>
            <w:r>
              <w:t>Erhverv</w:t>
            </w:r>
            <w:r w:rsidR="00B85C8B">
              <w:t xml:space="preserve">sdrivende må </w:t>
            </w:r>
            <w:r w:rsidR="00997A18">
              <w:t xml:space="preserve">desuden </w:t>
            </w:r>
            <w:r w:rsidR="00B85C8B">
              <w:t xml:space="preserve">anses for at være professionelle aktører. </w:t>
            </w:r>
            <w:r w:rsidR="008E0FA9">
              <w:t xml:space="preserve"> </w:t>
            </w:r>
            <w:r w:rsidR="00B85C8B">
              <w:t>Professionelle aktører må i højere grad end den almi</w:t>
            </w:r>
            <w:r w:rsidR="00B85C8B">
              <w:t>n</w:t>
            </w:r>
            <w:r w:rsidR="00B85C8B">
              <w:t>delige boligejer formodes at v</w:t>
            </w:r>
            <w:r w:rsidR="00B85C8B">
              <w:t>æ</w:t>
            </w:r>
            <w:r w:rsidR="00B85C8B">
              <w:t>re opmærksom</w:t>
            </w:r>
            <w:r w:rsidR="00E073B1">
              <w:t>me</w:t>
            </w:r>
            <w:r w:rsidR="00B85C8B">
              <w:t xml:space="preserve"> på betydni</w:t>
            </w:r>
            <w:r w:rsidR="00B85C8B">
              <w:t>n</w:t>
            </w:r>
            <w:r w:rsidR="00B85C8B">
              <w:t>gen af en ejendomsvurdering og konsekvenserne af, at en eje</w:t>
            </w:r>
            <w:r w:rsidR="00B85C8B">
              <w:t>n</w:t>
            </w:r>
            <w:r w:rsidR="00B85C8B">
              <w:t xml:space="preserve">domsvurdering evt. er forkert. Derfor vil den professionelle aktør alt andet lige være mere tilbøjelig til at klage over en vurdering end boligejeren, hvis </w:t>
            </w:r>
            <w:r w:rsidR="00E073B1">
              <w:t xml:space="preserve">den pågældende </w:t>
            </w:r>
            <w:r w:rsidR="00B85C8B">
              <w:t>ikke er enig i vurderingens resultat. Det b</w:t>
            </w:r>
            <w:r w:rsidR="00B85C8B">
              <w:t>e</w:t>
            </w:r>
            <w:r w:rsidR="00B85C8B">
              <w:t>mærkes i denne forbindelse, at der var almindelig adgang til at klage over vurderingen af e</w:t>
            </w:r>
            <w:r w:rsidR="00B85C8B">
              <w:t>r</w:t>
            </w:r>
            <w:r w:rsidR="00B85C8B">
              <w:t>hvervsejendomme i 2012.</w:t>
            </w:r>
          </w:p>
          <w:p w:rsidR="00B85C8B" w:rsidRDefault="00B85C8B" w:rsidP="00B85C8B">
            <w:pPr>
              <w:pStyle w:val="Tabel-BrdtekstmedafstandptekstGaramond"/>
            </w:pPr>
          </w:p>
          <w:p w:rsidR="00B85C8B" w:rsidRDefault="00430825" w:rsidP="00B85C8B">
            <w:pPr>
              <w:pStyle w:val="Tabel-BrdtekstmedafstandptekstGaramond"/>
            </w:pPr>
            <w:r>
              <w:t>Der er i bemærkningerne til lo</w:t>
            </w:r>
            <w:r>
              <w:t>v</w:t>
            </w:r>
            <w:r>
              <w:lastRenderedPageBreak/>
              <w:t>forslaget redegjort for regeri</w:t>
            </w:r>
            <w:r>
              <w:t>n</w:t>
            </w:r>
            <w:r>
              <w:t xml:space="preserve">gens bevæggrunde </w:t>
            </w:r>
            <w:r w:rsidR="00421B09">
              <w:t>for</w:t>
            </w:r>
            <w:r>
              <w:t xml:space="preserve"> at foreslå den generelle klageadgang u</w:t>
            </w:r>
            <w:r>
              <w:t>d</w:t>
            </w:r>
            <w:r w:rsidR="004C2D1C">
              <w:t>skudt</w:t>
            </w:r>
            <w:r w:rsidR="00977ED4">
              <w:t xml:space="preserve">, nemlig </w:t>
            </w:r>
            <w:r w:rsidR="008E0FA9">
              <w:t>at</w:t>
            </w:r>
            <w:r w:rsidR="00977ED4">
              <w:t xml:space="preserve"> de vil kunne foretages med anvendelse af et nyt </w:t>
            </w:r>
            <w:r w:rsidR="008E0FA9">
              <w:t xml:space="preserve">og bedre </w:t>
            </w:r>
            <w:r w:rsidR="00977ED4">
              <w:t>vurderingssystem</w:t>
            </w:r>
            <w:r w:rsidR="004C2D1C">
              <w:t>. De vurderinger, som bliver v</w:t>
            </w:r>
            <w:r w:rsidR="004C2D1C">
              <w:t>i</w:t>
            </w:r>
            <w:r w:rsidR="004C2D1C">
              <w:t>dereført - dvs. 2011-vurderin</w:t>
            </w:r>
            <w:r w:rsidR="0027363C">
              <w:t>g</w:t>
            </w:r>
            <w:r w:rsidR="004C2D1C">
              <w:t>en af ejerboliger og 2012-vurderingen af erhverv</w:t>
            </w:r>
            <w:r w:rsidR="004C2D1C">
              <w:t>s</w:t>
            </w:r>
            <w:r w:rsidR="004C2D1C">
              <w:t xml:space="preserve">ejendomme m.v. - </w:t>
            </w:r>
            <w:r w:rsidR="008E0FA9">
              <w:t xml:space="preserve">har </w:t>
            </w:r>
            <w:r w:rsidR="004C2D1C">
              <w:t>kunne</w:t>
            </w:r>
            <w:r w:rsidR="008E0FA9">
              <w:t>t</w:t>
            </w:r>
            <w:r w:rsidR="004C2D1C">
              <w:t xml:space="preserve"> påklages på det tidspunkt, hvor de blev offentliggjort.</w:t>
            </w:r>
          </w:p>
          <w:p w:rsidR="004C2D1C" w:rsidRDefault="004C2D1C" w:rsidP="00B85C8B">
            <w:pPr>
              <w:pStyle w:val="Tabel-BrdtekstmedafstandptekstGaramond"/>
            </w:pPr>
          </w:p>
          <w:p w:rsidR="004C2D1C" w:rsidRDefault="004C2D1C" w:rsidP="004C2D1C">
            <w:pPr>
              <w:pStyle w:val="Tabel-BrdtekstmedafstandptekstGaramond"/>
            </w:pPr>
            <w:r>
              <w:t>Det er efter lovforslaget muligt at klage over de omvurderinger og andre ansættelser, der foret</w:t>
            </w:r>
            <w:r>
              <w:t>a</w:t>
            </w:r>
            <w:r>
              <w:t>ges frem til det tidspunkt, hvor et nyt vurderingssystem forve</w:t>
            </w:r>
            <w:r>
              <w:t>n</w:t>
            </w:r>
            <w:r>
              <w:t xml:space="preserve">tes at kunne tages i anvendelse. </w:t>
            </w:r>
            <w:r w:rsidR="008A1E22">
              <w:t>Når det nye system tages i a</w:t>
            </w:r>
            <w:r w:rsidR="008A1E22">
              <w:t>n</w:t>
            </w:r>
            <w:r w:rsidR="008A1E22">
              <w:t>vendelse, vil det</w:t>
            </w:r>
            <w:r>
              <w:t xml:space="preserve"> således have været muligt at klage over alle </w:t>
            </w:r>
            <w:r w:rsidR="008A1E22">
              <w:t xml:space="preserve">tidligere </w:t>
            </w:r>
            <w:r>
              <w:t>vurderinger på det tidspunkt, hvor de blev foret</w:t>
            </w:r>
            <w:r>
              <w:t>a</w:t>
            </w:r>
            <w:r>
              <w:t>get.</w:t>
            </w:r>
          </w:p>
          <w:p w:rsidR="004C2D1C" w:rsidRDefault="004C2D1C" w:rsidP="004C2D1C">
            <w:pPr>
              <w:pStyle w:val="Tabel-BrdtekstmedafstandptekstGaramond"/>
            </w:pPr>
          </w:p>
          <w:p w:rsidR="004C2D1C" w:rsidRPr="00B5346F" w:rsidRDefault="008A1E22" w:rsidP="008E0FA9">
            <w:pPr>
              <w:pStyle w:val="Tabel-BrdtekstmedafstandptekstGaramond"/>
            </w:pPr>
            <w:r>
              <w:t>Alle ideer og forslag er velko</w:t>
            </w:r>
            <w:r>
              <w:t>m</w:t>
            </w:r>
            <w:r>
              <w:t>ne</w:t>
            </w:r>
            <w:r w:rsidR="00A91048">
              <w:t>. Regeringen har igangsat et omfattende analyse- og impl</w:t>
            </w:r>
            <w:r w:rsidR="00A91048">
              <w:t>e</w:t>
            </w:r>
            <w:r w:rsidR="00A91048">
              <w:t>menteringsarbejde, som skal munde ud i et konkret forslag til, hvordan et nyt ejendom</w:t>
            </w:r>
            <w:r w:rsidR="00A91048">
              <w:t>s</w:t>
            </w:r>
            <w:r w:rsidR="00A91048">
              <w:t xml:space="preserve">vurderingssystem kan indrettes. Dette arbejde foregår i </w:t>
            </w:r>
            <w:proofErr w:type="spellStart"/>
            <w:r w:rsidR="00A91048">
              <w:t>Impl</w:t>
            </w:r>
            <w:r w:rsidR="00A91048">
              <w:t>e</w:t>
            </w:r>
            <w:r w:rsidR="00A91048">
              <w:t>menterings</w:t>
            </w:r>
            <w:r w:rsidR="008E0FA9">
              <w:t>C</w:t>
            </w:r>
            <w:r w:rsidR="00A91048">
              <w:t>enter</w:t>
            </w:r>
            <w:proofErr w:type="spellEnd"/>
            <w:r w:rsidR="00A91048">
              <w:t xml:space="preserve"> for Eje</w:t>
            </w:r>
            <w:r w:rsidR="00A91048">
              <w:t>n</w:t>
            </w:r>
            <w:r w:rsidR="00A91048">
              <w:t>domsvurdering (ICE), som bl.a. har fået til opgave at udvikle de nødvendige modeller for eje</w:t>
            </w:r>
            <w:r w:rsidR="00A91048">
              <w:t>n</w:t>
            </w:r>
            <w:r w:rsidR="00A91048">
              <w:t>domsvurdering, udvikle et nyt IT-system og forberede en ny lovgivning på området.</w:t>
            </w:r>
          </w:p>
        </w:tc>
      </w:tr>
      <w:tr w:rsidR="0045370B" w:rsidRPr="00B5346F" w:rsidTr="0045370B">
        <w:tc>
          <w:tcPr>
            <w:tcW w:w="2813" w:type="dxa"/>
            <w:tcBorders>
              <w:bottom w:val="single" w:sz="4" w:space="0" w:color="D1C5C3" w:themeColor="accent3"/>
            </w:tcBorders>
            <w:shd w:val="clear" w:color="auto" w:fill="FBF9F9"/>
          </w:tcPr>
          <w:p w:rsidR="0045370B" w:rsidRPr="00600E3E" w:rsidRDefault="0045370B" w:rsidP="00430825">
            <w:pPr>
              <w:pStyle w:val="Tabel-BrdtekstmedafstandptekstGaramond"/>
              <w:rPr>
                <w:i/>
              </w:rPr>
            </w:pPr>
            <w:r>
              <w:rPr>
                <w:i/>
              </w:rPr>
              <w:lastRenderedPageBreak/>
              <w:t>Dansk Ejendomsmæglerfo</w:t>
            </w:r>
            <w:r>
              <w:rPr>
                <w:i/>
              </w:rPr>
              <w:t>r</w:t>
            </w:r>
            <w:r>
              <w:rPr>
                <w:i/>
              </w:rPr>
              <w:t>ening</w:t>
            </w:r>
          </w:p>
        </w:tc>
        <w:tc>
          <w:tcPr>
            <w:tcW w:w="189" w:type="dxa"/>
            <w:shd w:val="clear" w:color="auto" w:fill="FFFFFF" w:themeFill="background1"/>
          </w:tcPr>
          <w:p w:rsidR="0045370B" w:rsidRPr="00B5346F" w:rsidRDefault="0045370B" w:rsidP="00430825"/>
        </w:tc>
        <w:tc>
          <w:tcPr>
            <w:tcW w:w="3221" w:type="dxa"/>
            <w:tcBorders>
              <w:bottom w:val="single" w:sz="4" w:space="0" w:color="D1C5C3" w:themeColor="accent3"/>
            </w:tcBorders>
            <w:shd w:val="clear" w:color="auto" w:fill="FBF9F9"/>
          </w:tcPr>
          <w:p w:rsidR="0045370B" w:rsidRDefault="007043DE" w:rsidP="00430825">
            <w:pPr>
              <w:pStyle w:val="Tabel-BrdtekstmedafstandptekstGaramond"/>
            </w:pPr>
            <w:r>
              <w:t>Foreningen finder det uhe</w:t>
            </w:r>
            <w:r>
              <w:t>n</w:t>
            </w:r>
            <w:r>
              <w:t>sigtsmæssigt, at erhvervseje</w:t>
            </w:r>
            <w:r>
              <w:t>n</w:t>
            </w:r>
            <w:r>
              <w:t>domme m.v. på en række omr</w:t>
            </w:r>
            <w:r>
              <w:t>å</w:t>
            </w:r>
            <w:r>
              <w:t>der ikke sidestilles med ejerbol</w:t>
            </w:r>
            <w:r>
              <w:t>i</w:t>
            </w:r>
            <w:r>
              <w:t>ger, f.eks. at ikke alle erhverv</w:t>
            </w:r>
            <w:r>
              <w:t>s</w:t>
            </w:r>
            <w:r>
              <w:t>ejendomme får nedsat grun</w:t>
            </w:r>
            <w:r>
              <w:t>d</w:t>
            </w:r>
            <w:r>
              <w:t>værdien med 2,5 pct., og at tin</w:t>
            </w:r>
            <w:r>
              <w:t>g</w:t>
            </w:r>
            <w:r>
              <w:t>lysningsafgiften ikke udelu</w:t>
            </w:r>
            <w:r>
              <w:t>k</w:t>
            </w:r>
            <w:r>
              <w:t>kende beregnes af ejerskift</w:t>
            </w:r>
            <w:r>
              <w:t>e</w:t>
            </w:r>
            <w:r>
              <w:t>summen, som det nu sker for ejerboliger.</w:t>
            </w:r>
          </w:p>
          <w:p w:rsidR="007043DE" w:rsidRDefault="007043DE" w:rsidP="00430825">
            <w:pPr>
              <w:pStyle w:val="Tabel-BrdtekstmedafstandptekstGaramond"/>
            </w:pPr>
          </w:p>
          <w:p w:rsidR="005B082A" w:rsidRDefault="005B082A" w:rsidP="00430825">
            <w:pPr>
              <w:pStyle w:val="Tabel-BrdtekstmedafstandptekstGaramond"/>
            </w:pPr>
          </w:p>
          <w:p w:rsidR="005B082A" w:rsidRDefault="005B082A" w:rsidP="00430825">
            <w:pPr>
              <w:pStyle w:val="Tabel-BrdtekstmedafstandptekstGaramond"/>
            </w:pPr>
          </w:p>
          <w:p w:rsidR="005B082A" w:rsidRDefault="005B082A" w:rsidP="00430825">
            <w:pPr>
              <w:pStyle w:val="Tabel-BrdtekstmedafstandptekstGaramond"/>
            </w:pPr>
          </w:p>
          <w:p w:rsidR="00225BD6" w:rsidRDefault="00225BD6" w:rsidP="00430825">
            <w:pPr>
              <w:pStyle w:val="Tabel-BrdtekstmedafstandptekstGaramond"/>
            </w:pPr>
          </w:p>
          <w:p w:rsidR="005B082A" w:rsidRDefault="005B082A" w:rsidP="00430825">
            <w:pPr>
              <w:pStyle w:val="Tabel-BrdtekstmedafstandptekstGaramond"/>
            </w:pPr>
          </w:p>
          <w:p w:rsidR="005B082A" w:rsidRDefault="005B082A" w:rsidP="00430825">
            <w:pPr>
              <w:pStyle w:val="Tabel-BrdtekstmedafstandptekstGaramond"/>
            </w:pPr>
          </w:p>
          <w:p w:rsidR="005B082A" w:rsidRDefault="005B082A" w:rsidP="00430825">
            <w:pPr>
              <w:pStyle w:val="Tabel-BrdtekstmedafstandptekstGaramond"/>
            </w:pPr>
          </w:p>
          <w:p w:rsidR="003360B2" w:rsidRDefault="003360B2" w:rsidP="00430825">
            <w:pPr>
              <w:pStyle w:val="Tabel-BrdtekstmedafstandptekstGaramond"/>
            </w:pPr>
          </w:p>
          <w:p w:rsidR="005B082A" w:rsidRDefault="005B082A" w:rsidP="00430825">
            <w:pPr>
              <w:pStyle w:val="Tabel-BrdtekstmedafstandptekstGaramond"/>
            </w:pPr>
          </w:p>
          <w:p w:rsidR="007043DE" w:rsidRDefault="007043DE" w:rsidP="00430825">
            <w:pPr>
              <w:pStyle w:val="Tabel-BrdtekstmedafstandptekstGaramond"/>
            </w:pPr>
            <w:r>
              <w:t>Det er videre foreningens opfa</w:t>
            </w:r>
            <w:r>
              <w:t>t</w:t>
            </w:r>
            <w:r>
              <w:t>telse, at andelsboligforeninger løbende bør kunne få foretaget omvurderinger, idet maksima</w:t>
            </w:r>
            <w:r>
              <w:t>l</w:t>
            </w:r>
            <w:r>
              <w:t>prisen for andelsboliger i mange tilfælde fastsættes efter den o</w:t>
            </w:r>
            <w:r>
              <w:t>f</w:t>
            </w:r>
            <w:r>
              <w:t>fentlige vurdering. Suspensi</w:t>
            </w:r>
            <w:r>
              <w:t>o</w:t>
            </w:r>
            <w:r>
              <w:t>nen af denne mulighed bevirker, at disse andelsboligforeninger ikke kan fastsætte en maksima</w:t>
            </w:r>
            <w:r>
              <w:t>l</w:t>
            </w:r>
            <w:r>
              <w:t>pris, der afspejler de faktiske forhold, specielt ved større o</w:t>
            </w:r>
            <w:r>
              <w:t>m</w:t>
            </w:r>
            <w:r>
              <w:t>bygninger.</w:t>
            </w:r>
          </w:p>
          <w:p w:rsidR="007043DE" w:rsidRDefault="007043DE" w:rsidP="00430825">
            <w:pPr>
              <w:pStyle w:val="Tabel-BrdtekstmedafstandptekstGaramond"/>
            </w:pPr>
          </w:p>
          <w:p w:rsidR="00B8241F" w:rsidRDefault="00B8241F" w:rsidP="00430825">
            <w:pPr>
              <w:pStyle w:val="Tabel-BrdtekstmedafstandptekstGaramond"/>
            </w:pPr>
          </w:p>
          <w:p w:rsidR="00B8241F" w:rsidRDefault="00B8241F" w:rsidP="00430825">
            <w:pPr>
              <w:pStyle w:val="Tabel-BrdtekstmedafstandptekstGaramond"/>
            </w:pPr>
          </w:p>
          <w:p w:rsidR="007043DE" w:rsidRPr="00B5346F" w:rsidRDefault="007043DE" w:rsidP="00430825">
            <w:pPr>
              <w:pStyle w:val="Tabel-BrdtekstmedafstandptekstGaramond"/>
            </w:pPr>
            <w:r>
              <w:t>Samme problemstilling gør sig gældende i forbindelse med g</w:t>
            </w:r>
            <w:r>
              <w:t>a</w:t>
            </w:r>
            <w:r>
              <w:t>ver og arv samt ved generat</w:t>
            </w:r>
            <w:r>
              <w:t>i</w:t>
            </w:r>
            <w:r>
              <w:t>onsskifte i virksomheder.</w:t>
            </w:r>
          </w:p>
        </w:tc>
        <w:tc>
          <w:tcPr>
            <w:tcW w:w="204" w:type="dxa"/>
            <w:shd w:val="clear" w:color="auto" w:fill="FFFFFF" w:themeFill="background1"/>
          </w:tcPr>
          <w:p w:rsidR="0045370B" w:rsidRPr="00B5346F" w:rsidRDefault="0045370B" w:rsidP="00430825"/>
        </w:tc>
        <w:tc>
          <w:tcPr>
            <w:tcW w:w="3212" w:type="dxa"/>
            <w:tcBorders>
              <w:bottom w:val="single" w:sz="4" w:space="0" w:color="14143C" w:themeColor="accent1"/>
            </w:tcBorders>
            <w:shd w:val="clear" w:color="auto" w:fill="D2CED8"/>
          </w:tcPr>
          <w:p w:rsidR="0045370B" w:rsidRDefault="005B082A" w:rsidP="005B082A">
            <w:pPr>
              <w:pStyle w:val="Tabel-BrdtekstmedafstandptekstGaramond"/>
            </w:pPr>
            <w:r>
              <w:t>Hvad</w:t>
            </w:r>
            <w:r w:rsidR="00BA2E2B">
              <w:t xml:space="preserve"> angår spørgsmålet om nedsættel</w:t>
            </w:r>
            <w:r>
              <w:t>s</w:t>
            </w:r>
            <w:r w:rsidR="00BA2E2B">
              <w:t>en af grundværdien</w:t>
            </w:r>
            <w:r>
              <w:t>,</w:t>
            </w:r>
            <w:r w:rsidR="00BA2E2B">
              <w:t xml:space="preserve"> henvises til kommentarerne til henvendelse</w:t>
            </w:r>
            <w:r>
              <w:t>n</w:t>
            </w:r>
            <w:r w:rsidR="00BA2E2B">
              <w:t xml:space="preserve"> fra Dansk Bygg</w:t>
            </w:r>
            <w:r w:rsidR="00BA2E2B">
              <w:t>e</w:t>
            </w:r>
            <w:r w:rsidR="00BA2E2B">
              <w:t>ri.</w:t>
            </w:r>
          </w:p>
          <w:p w:rsidR="005B082A" w:rsidRDefault="005B082A" w:rsidP="005B082A">
            <w:pPr>
              <w:pStyle w:val="Tabel-BrdtekstmedafstandptekstGaramond"/>
            </w:pPr>
          </w:p>
          <w:p w:rsidR="003360B2" w:rsidRDefault="005B082A" w:rsidP="005B082A">
            <w:pPr>
              <w:pStyle w:val="Tabel-BrdtekstmedafstandptekstGaramond"/>
            </w:pPr>
            <w:r>
              <w:t>Den eksisterende lovgivning bygger på en forudsætning om, at alle ejendomme skal vurderes pr. 1. oktober 2015 med anve</w:t>
            </w:r>
            <w:r>
              <w:t>n</w:t>
            </w:r>
            <w:r>
              <w:t>delse af et nyt vurderingssystem. Dette har vist sig ikke at være muligt. Regeringen har derfor fremsat lovforslag L 76, som indeholder de ændringer, som det er nødvendigt at foretage i vurderingsloven inden årets u</w:t>
            </w:r>
            <w:r>
              <w:t>d</w:t>
            </w:r>
            <w:r>
              <w:t xml:space="preserve">gang. </w:t>
            </w:r>
            <w:r w:rsidR="003360B2">
              <w:t>Der er ikke samme behov for at ændre tinglysningsafgift</w:t>
            </w:r>
            <w:r w:rsidR="003360B2">
              <w:t>s</w:t>
            </w:r>
            <w:r w:rsidR="003360B2">
              <w:t>loven.</w:t>
            </w:r>
          </w:p>
          <w:p w:rsidR="003360B2" w:rsidRDefault="003360B2" w:rsidP="005B082A">
            <w:pPr>
              <w:pStyle w:val="Tabel-BrdtekstmedafstandptekstGaramond"/>
            </w:pPr>
          </w:p>
          <w:p w:rsidR="00225BD6" w:rsidRDefault="00225BD6" w:rsidP="005B082A">
            <w:pPr>
              <w:pStyle w:val="Tabel-BrdtekstmedafstandptekstGaramond"/>
            </w:pPr>
            <w:r>
              <w:t>Andelsboligforeninger har m</w:t>
            </w:r>
            <w:r>
              <w:t>u</w:t>
            </w:r>
            <w:r>
              <w:t>lighed for at ansætte andelenes værdi - ”andelskronen” - efter en valuarvurdering, hvis man ønsker dette i stedet for den o</w:t>
            </w:r>
            <w:r>
              <w:t>f</w:t>
            </w:r>
            <w:r>
              <w:t>fentlige vurdering.</w:t>
            </w:r>
          </w:p>
          <w:p w:rsidR="00225BD6" w:rsidRDefault="00225BD6" w:rsidP="005B082A">
            <w:pPr>
              <w:pStyle w:val="Tabel-BrdtekstmedafstandptekstGaramond"/>
            </w:pPr>
          </w:p>
          <w:p w:rsidR="00225BD6" w:rsidRDefault="00B8241F" w:rsidP="005B082A">
            <w:pPr>
              <w:pStyle w:val="Tabel-BrdtekstmedafstandptekstGaramond"/>
            </w:pPr>
            <w:r>
              <w:t>Er der foretaget ombygninger i et sådant omfang, at betinge</w:t>
            </w:r>
            <w:r>
              <w:t>l</w:t>
            </w:r>
            <w:r>
              <w:t>serne i vurderingslovens § 3 for at få foretaget en omvurdering er til stede, vil omvurderingen skulle foretages ud fra eje</w:t>
            </w:r>
            <w:r>
              <w:t>n</w:t>
            </w:r>
            <w:r>
              <w:t>dommens tilstand på omvurd</w:t>
            </w:r>
            <w:r>
              <w:t>e</w:t>
            </w:r>
            <w:r>
              <w:t>ringstidspunktet.</w:t>
            </w:r>
          </w:p>
          <w:p w:rsidR="00225BD6" w:rsidRDefault="00225BD6" w:rsidP="005B082A">
            <w:pPr>
              <w:pStyle w:val="Tabel-BrdtekstmedafstandptekstGaramond"/>
            </w:pPr>
          </w:p>
          <w:p w:rsidR="00225BD6" w:rsidRPr="00B5346F" w:rsidRDefault="00E62A98" w:rsidP="005B082A">
            <w:pPr>
              <w:pStyle w:val="Tabel-BrdtekstmedafstandptekstGaramond"/>
            </w:pPr>
            <w:r>
              <w:t>Der henvises til kommentar til henvendelsen fra FSR danske revisorer.</w:t>
            </w:r>
          </w:p>
        </w:tc>
      </w:tr>
      <w:tr w:rsidR="0045370B" w:rsidRPr="00B5346F" w:rsidTr="0045370B">
        <w:tc>
          <w:tcPr>
            <w:tcW w:w="2813" w:type="dxa"/>
            <w:tcBorders>
              <w:bottom w:val="single" w:sz="4" w:space="0" w:color="D1C5C3" w:themeColor="accent3"/>
            </w:tcBorders>
            <w:shd w:val="clear" w:color="auto" w:fill="FBF9F9"/>
          </w:tcPr>
          <w:p w:rsidR="0045370B" w:rsidRPr="00600E3E" w:rsidRDefault="0045370B" w:rsidP="00430825">
            <w:pPr>
              <w:pStyle w:val="Tabel-BrdtekstmedafstandptekstGaramond"/>
              <w:rPr>
                <w:i/>
              </w:rPr>
            </w:pPr>
            <w:r>
              <w:rPr>
                <w:i/>
              </w:rPr>
              <w:lastRenderedPageBreak/>
              <w:t>Dansk Erhverv</w:t>
            </w:r>
          </w:p>
        </w:tc>
        <w:tc>
          <w:tcPr>
            <w:tcW w:w="189" w:type="dxa"/>
            <w:shd w:val="clear" w:color="auto" w:fill="FFFFFF" w:themeFill="background1"/>
          </w:tcPr>
          <w:p w:rsidR="0045370B" w:rsidRPr="00B5346F" w:rsidRDefault="0045370B" w:rsidP="00430825"/>
        </w:tc>
        <w:tc>
          <w:tcPr>
            <w:tcW w:w="3221" w:type="dxa"/>
            <w:tcBorders>
              <w:bottom w:val="single" w:sz="4" w:space="0" w:color="D1C5C3" w:themeColor="accent3"/>
            </w:tcBorders>
            <w:shd w:val="clear" w:color="auto" w:fill="FBF9F9"/>
          </w:tcPr>
          <w:p w:rsidR="008F5407" w:rsidRDefault="008F5407" w:rsidP="008F5407">
            <w:pPr>
              <w:pStyle w:val="Tabel-BrdtekstmedafstandptekstGaramond"/>
            </w:pPr>
            <w:r>
              <w:t>Dansk Erhverv savner en b</w:t>
            </w:r>
            <w:r>
              <w:t>e</w:t>
            </w:r>
            <w:r>
              <w:t>grundelse for, hvorfor man ikke har taget hensyn til, at 2012-vurderingen af erhvervseje</w:t>
            </w:r>
            <w:r>
              <w:t>n</w:t>
            </w:r>
            <w:r>
              <w:t>domme kan være upræcis. E</w:t>
            </w:r>
            <w:r>
              <w:t>r</w:t>
            </w:r>
            <w:r>
              <w:t xml:space="preserve">hvervsejendomme bør derfor behandles på samme måde som ejerboliger. </w:t>
            </w:r>
          </w:p>
          <w:p w:rsidR="008F5407" w:rsidRDefault="008F5407" w:rsidP="008F5407">
            <w:pPr>
              <w:pStyle w:val="Tabel-BrdtekstmedafstandptekstGaramond"/>
            </w:pPr>
          </w:p>
          <w:p w:rsidR="00C5457D" w:rsidRPr="00B5346F" w:rsidRDefault="008F5407" w:rsidP="00A842F5">
            <w:pPr>
              <w:pStyle w:val="Tabel-BrdtekstmedafstandptekstGaramond"/>
            </w:pPr>
            <w:r>
              <w:t>Dog vil en generel nedsættelse af vurderingen med 2,5 pct. ikke være den rigtige løsning, idet nogle ejere kan ønske en højere vurdering. En mulighed kunne derfor være, at man giver ejere af erhvervsejendomme muli</w:t>
            </w:r>
            <w:r>
              <w:t>g</w:t>
            </w:r>
            <w:r>
              <w:t>hed for at vælge en vurdering, der enten er 2,5 pct. højere eller 2,5 pct. lavere end 2012-vurderin</w:t>
            </w:r>
            <w:r w:rsidR="00C5457D">
              <w:t>g</w:t>
            </w:r>
            <w:r>
              <w:t>en.</w:t>
            </w:r>
          </w:p>
        </w:tc>
        <w:tc>
          <w:tcPr>
            <w:tcW w:w="204" w:type="dxa"/>
            <w:shd w:val="clear" w:color="auto" w:fill="FFFFFF" w:themeFill="background1"/>
          </w:tcPr>
          <w:p w:rsidR="0045370B" w:rsidRPr="00B5346F" w:rsidRDefault="0045370B" w:rsidP="00430825"/>
        </w:tc>
        <w:tc>
          <w:tcPr>
            <w:tcW w:w="3212" w:type="dxa"/>
            <w:tcBorders>
              <w:bottom w:val="single" w:sz="4" w:space="0" w:color="14143C" w:themeColor="accent1"/>
            </w:tcBorders>
            <w:shd w:val="clear" w:color="auto" w:fill="D2CED8"/>
          </w:tcPr>
          <w:p w:rsidR="0045370B" w:rsidRDefault="00BF2445" w:rsidP="00430825">
            <w:pPr>
              <w:pStyle w:val="Tabel-BrdtekstmedafstandptekstGaramond"/>
            </w:pPr>
            <w:r>
              <w:t xml:space="preserve">Der henvises til kommentar til henvendelsen fra </w:t>
            </w:r>
            <w:r w:rsidR="005D21A4">
              <w:t>D</w:t>
            </w:r>
            <w:r>
              <w:t>ansk Bygg</w:t>
            </w:r>
            <w:r>
              <w:t>e</w:t>
            </w:r>
            <w:r>
              <w:t>ri.</w:t>
            </w:r>
          </w:p>
          <w:p w:rsidR="00BF2445" w:rsidRDefault="00BF2445" w:rsidP="00430825">
            <w:pPr>
              <w:pStyle w:val="Tabel-BrdtekstmedafstandptekstGaramond"/>
            </w:pPr>
          </w:p>
          <w:p w:rsidR="00BF2445" w:rsidRDefault="00BF2445" w:rsidP="00430825">
            <w:pPr>
              <w:pStyle w:val="Tabel-BrdtekstmedafstandptekstGaramond"/>
            </w:pPr>
          </w:p>
          <w:p w:rsidR="00BF2445" w:rsidRDefault="00BF2445" w:rsidP="00430825">
            <w:pPr>
              <w:pStyle w:val="Tabel-BrdtekstmedafstandptekstGaramond"/>
            </w:pPr>
          </w:p>
          <w:p w:rsidR="00BF2445" w:rsidRDefault="00BF2445" w:rsidP="00430825">
            <w:pPr>
              <w:pStyle w:val="Tabel-BrdtekstmedafstandptekstGaramond"/>
            </w:pPr>
          </w:p>
          <w:p w:rsidR="00BF2445" w:rsidRDefault="00BF2445" w:rsidP="00430825">
            <w:pPr>
              <w:pStyle w:val="Tabel-BrdtekstmedafstandptekstGaramond"/>
            </w:pPr>
          </w:p>
          <w:p w:rsidR="00BF2445" w:rsidRDefault="00BF2445" w:rsidP="00430825">
            <w:pPr>
              <w:pStyle w:val="Tabel-BrdtekstmedafstandptekstGaramond"/>
            </w:pPr>
          </w:p>
          <w:p w:rsidR="00BF2445" w:rsidRDefault="00BF2445" w:rsidP="00430825">
            <w:pPr>
              <w:pStyle w:val="Tabel-BrdtekstmedafstandptekstGaramond"/>
            </w:pPr>
          </w:p>
          <w:p w:rsidR="00BF2445" w:rsidRPr="00B5346F" w:rsidRDefault="00BF2445" w:rsidP="00430825">
            <w:pPr>
              <w:pStyle w:val="Tabel-BrdtekstmedafstandptekstGaramond"/>
            </w:pPr>
          </w:p>
        </w:tc>
      </w:tr>
      <w:tr w:rsidR="0045370B" w:rsidRPr="00B5346F" w:rsidTr="0045370B">
        <w:tc>
          <w:tcPr>
            <w:tcW w:w="2813" w:type="dxa"/>
            <w:tcBorders>
              <w:bottom w:val="single" w:sz="4" w:space="0" w:color="D1C5C3" w:themeColor="accent3"/>
            </w:tcBorders>
            <w:shd w:val="clear" w:color="auto" w:fill="FBF9F9"/>
          </w:tcPr>
          <w:p w:rsidR="0045370B" w:rsidRPr="00600E3E" w:rsidRDefault="0045370B" w:rsidP="00430825">
            <w:pPr>
              <w:pStyle w:val="Tabel-BrdtekstmedafstandptekstGaramond"/>
              <w:rPr>
                <w:i/>
              </w:rPr>
            </w:pPr>
            <w:r>
              <w:rPr>
                <w:i/>
              </w:rPr>
              <w:t>DI</w:t>
            </w:r>
          </w:p>
        </w:tc>
        <w:tc>
          <w:tcPr>
            <w:tcW w:w="189" w:type="dxa"/>
            <w:shd w:val="clear" w:color="auto" w:fill="FFFFFF" w:themeFill="background1"/>
          </w:tcPr>
          <w:p w:rsidR="0045370B" w:rsidRPr="00B5346F" w:rsidRDefault="0045370B" w:rsidP="00430825"/>
        </w:tc>
        <w:tc>
          <w:tcPr>
            <w:tcW w:w="3221" w:type="dxa"/>
            <w:tcBorders>
              <w:bottom w:val="single" w:sz="4" w:space="0" w:color="D1C5C3" w:themeColor="accent3"/>
            </w:tcBorders>
            <w:shd w:val="clear" w:color="auto" w:fill="FBF9F9"/>
          </w:tcPr>
          <w:p w:rsidR="0045370B" w:rsidRPr="00B5346F" w:rsidRDefault="00995289" w:rsidP="00430825">
            <w:pPr>
              <w:pStyle w:val="Tabel-BrdtekstmedafstandptekstGaramond"/>
            </w:pPr>
            <w:r>
              <w:t>Ingen bemærkninger.</w:t>
            </w:r>
          </w:p>
        </w:tc>
        <w:tc>
          <w:tcPr>
            <w:tcW w:w="204" w:type="dxa"/>
            <w:shd w:val="clear" w:color="auto" w:fill="FFFFFF" w:themeFill="background1"/>
          </w:tcPr>
          <w:p w:rsidR="0045370B" w:rsidRPr="00B5346F" w:rsidRDefault="0045370B" w:rsidP="00430825"/>
        </w:tc>
        <w:tc>
          <w:tcPr>
            <w:tcW w:w="3212" w:type="dxa"/>
            <w:tcBorders>
              <w:bottom w:val="single" w:sz="4" w:space="0" w:color="14143C" w:themeColor="accent1"/>
            </w:tcBorders>
            <w:shd w:val="clear" w:color="auto" w:fill="D2CED8"/>
          </w:tcPr>
          <w:p w:rsidR="0045370B" w:rsidRPr="00B5346F" w:rsidRDefault="0045370B" w:rsidP="00430825">
            <w:pPr>
              <w:pStyle w:val="Tabel-BrdtekstmedafstandptekstGaramond"/>
            </w:pPr>
          </w:p>
        </w:tc>
      </w:tr>
      <w:tr w:rsidR="0045370B" w:rsidRPr="00B5346F" w:rsidTr="0045370B">
        <w:tc>
          <w:tcPr>
            <w:tcW w:w="2813" w:type="dxa"/>
            <w:tcBorders>
              <w:bottom w:val="single" w:sz="4" w:space="0" w:color="D1C5C3" w:themeColor="accent3"/>
            </w:tcBorders>
            <w:shd w:val="clear" w:color="auto" w:fill="FBF9F9"/>
          </w:tcPr>
          <w:p w:rsidR="0045370B" w:rsidRPr="00600E3E" w:rsidRDefault="0045370B" w:rsidP="00430825">
            <w:pPr>
              <w:pStyle w:val="Tabel-BrdtekstmedafstandptekstGaramond"/>
              <w:rPr>
                <w:i/>
              </w:rPr>
            </w:pPr>
            <w:r>
              <w:rPr>
                <w:i/>
              </w:rPr>
              <w:t>Domstolsstyrelsen</w:t>
            </w:r>
          </w:p>
        </w:tc>
        <w:tc>
          <w:tcPr>
            <w:tcW w:w="189" w:type="dxa"/>
            <w:shd w:val="clear" w:color="auto" w:fill="FFFFFF" w:themeFill="background1"/>
          </w:tcPr>
          <w:p w:rsidR="0045370B" w:rsidRPr="00B5346F" w:rsidRDefault="0045370B" w:rsidP="00430825"/>
        </w:tc>
        <w:tc>
          <w:tcPr>
            <w:tcW w:w="3221" w:type="dxa"/>
            <w:tcBorders>
              <w:bottom w:val="single" w:sz="4" w:space="0" w:color="D1C5C3" w:themeColor="accent3"/>
            </w:tcBorders>
            <w:shd w:val="clear" w:color="auto" w:fill="FBF9F9"/>
          </w:tcPr>
          <w:p w:rsidR="0045370B" w:rsidRPr="00B5346F" w:rsidRDefault="00995289" w:rsidP="00430825">
            <w:pPr>
              <w:pStyle w:val="Tabel-BrdtekstmedafstandptekstGaramond"/>
            </w:pPr>
            <w:r>
              <w:t>Ingen bemærkninger til lo</w:t>
            </w:r>
            <w:r>
              <w:t>v</w:t>
            </w:r>
            <w:r>
              <w:t>forslagets indhold. Domstol</w:t>
            </w:r>
            <w:r>
              <w:t>s</w:t>
            </w:r>
            <w:r>
              <w:t>styrelsen gør opmærksom på, at de ændrede ejendomsvurderi</w:t>
            </w:r>
            <w:r>
              <w:t>n</w:t>
            </w:r>
            <w:r>
              <w:t>ger af hensyn til beregningen af tinglysningsafgift skal offentli</w:t>
            </w:r>
            <w:r>
              <w:t>g</w:t>
            </w:r>
            <w:r>
              <w:t>gøres på Den Offentlige Info</w:t>
            </w:r>
            <w:r>
              <w:t>r</w:t>
            </w:r>
            <w:r>
              <w:t>mationsserver samtidig med l</w:t>
            </w:r>
            <w:r>
              <w:t>o</w:t>
            </w:r>
            <w:r>
              <w:t>vens ikrafttræden.</w:t>
            </w:r>
          </w:p>
        </w:tc>
        <w:tc>
          <w:tcPr>
            <w:tcW w:w="204" w:type="dxa"/>
            <w:shd w:val="clear" w:color="auto" w:fill="FFFFFF" w:themeFill="background1"/>
          </w:tcPr>
          <w:p w:rsidR="0045370B" w:rsidRPr="00B5346F" w:rsidRDefault="0045370B" w:rsidP="00430825"/>
        </w:tc>
        <w:tc>
          <w:tcPr>
            <w:tcW w:w="3212" w:type="dxa"/>
            <w:tcBorders>
              <w:bottom w:val="single" w:sz="4" w:space="0" w:color="14143C" w:themeColor="accent1"/>
            </w:tcBorders>
            <w:shd w:val="clear" w:color="auto" w:fill="D2CED8"/>
          </w:tcPr>
          <w:p w:rsidR="0045370B" w:rsidRPr="00B5346F" w:rsidRDefault="00D112F9" w:rsidP="00D112F9">
            <w:pPr>
              <w:pStyle w:val="Tabel-BrdtekstmedafstandptekstGaramond"/>
            </w:pPr>
            <w:r>
              <w:t>Der sker ingen ændringer af vurderinger på tidspunktet for lovens ikrafttræden. Ændringen sker ved vurderingen pr. 1. o</w:t>
            </w:r>
            <w:r>
              <w:t>k</w:t>
            </w:r>
            <w:r>
              <w:t>tober 2015 (ændring af raba</w:t>
            </w:r>
            <w:r>
              <w:t>t</w:t>
            </w:r>
            <w:r>
              <w:t>ordningen).</w:t>
            </w:r>
          </w:p>
        </w:tc>
      </w:tr>
      <w:tr w:rsidR="0045370B" w:rsidRPr="00B5346F" w:rsidTr="0045370B">
        <w:tc>
          <w:tcPr>
            <w:tcW w:w="2813" w:type="dxa"/>
            <w:tcBorders>
              <w:bottom w:val="single" w:sz="4" w:space="0" w:color="D1C5C3" w:themeColor="accent3"/>
            </w:tcBorders>
            <w:shd w:val="clear" w:color="auto" w:fill="FBF9F9"/>
          </w:tcPr>
          <w:p w:rsidR="0045370B" w:rsidRPr="00600E3E" w:rsidRDefault="0045370B" w:rsidP="00430825">
            <w:pPr>
              <w:pStyle w:val="Tabel-BrdtekstmedafstandptekstGaramond"/>
              <w:rPr>
                <w:i/>
              </w:rPr>
            </w:pPr>
            <w:r>
              <w:rPr>
                <w:i/>
              </w:rPr>
              <w:lastRenderedPageBreak/>
              <w:t>Ejendomsforeningen Danmark</w:t>
            </w:r>
          </w:p>
        </w:tc>
        <w:tc>
          <w:tcPr>
            <w:tcW w:w="189" w:type="dxa"/>
            <w:shd w:val="clear" w:color="auto" w:fill="FFFFFF" w:themeFill="background1"/>
          </w:tcPr>
          <w:p w:rsidR="0045370B" w:rsidRPr="00B5346F" w:rsidRDefault="0045370B" w:rsidP="00430825"/>
        </w:tc>
        <w:tc>
          <w:tcPr>
            <w:tcW w:w="3221" w:type="dxa"/>
            <w:tcBorders>
              <w:bottom w:val="single" w:sz="4" w:space="0" w:color="D1C5C3" w:themeColor="accent3"/>
            </w:tcBorders>
            <w:shd w:val="clear" w:color="auto" w:fill="FBF9F9"/>
          </w:tcPr>
          <w:p w:rsidR="0045370B" w:rsidRDefault="00EF0928" w:rsidP="00EF0928">
            <w:pPr>
              <w:pStyle w:val="Tabel-BrdtekstmedafstandptekstGaramond"/>
            </w:pPr>
            <w:r>
              <w:t>Foreningen er uforstående over for, at erhvervsejendomme m.v. stadig generelt ikke sidestilles med ejerboliger. Dette gælder de to rabatordninger. Det gæ</w:t>
            </w:r>
            <w:r>
              <w:t>l</w:t>
            </w:r>
            <w:r>
              <w:t>der også for tinglysningsafgi</w:t>
            </w:r>
            <w:r>
              <w:t>f</w:t>
            </w:r>
            <w:r>
              <w:t>ten, hvor afgiften for ejerbol</w:t>
            </w:r>
            <w:r>
              <w:t>i</w:t>
            </w:r>
            <w:r>
              <w:t>gers vedkommende kun bere</w:t>
            </w:r>
            <w:r>
              <w:t>g</w:t>
            </w:r>
            <w:r>
              <w:t>nes af ejerskiftesummen.</w:t>
            </w:r>
          </w:p>
          <w:p w:rsidR="00EF0928" w:rsidRDefault="00EF0928" w:rsidP="00EF0928">
            <w:pPr>
              <w:pStyle w:val="Tabel-BrdtekstmedafstandptekstGaramond"/>
            </w:pPr>
          </w:p>
          <w:p w:rsidR="00EF0928" w:rsidRDefault="00EF0928" w:rsidP="001A3F77">
            <w:pPr>
              <w:pStyle w:val="Tabel-BrdtekstmedafstandptekstGaramond"/>
            </w:pPr>
            <w:r>
              <w:t>Foreningen peger videre på, at forslaget ikke tager højde</w:t>
            </w:r>
            <w:r w:rsidR="001A3F77">
              <w:t xml:space="preserve"> for e</w:t>
            </w:r>
            <w:r w:rsidR="001A3F77">
              <w:t>l</w:t>
            </w:r>
            <w:r w:rsidR="001A3F77">
              <w:t>ler behandler den uhensigt</w:t>
            </w:r>
            <w:r w:rsidR="001A3F77">
              <w:t>s</w:t>
            </w:r>
            <w:r w:rsidR="001A3F77">
              <w:t>mæssige følgevirkning i forbi</w:t>
            </w:r>
            <w:r w:rsidR="001A3F77">
              <w:t>n</w:t>
            </w:r>
            <w:r w:rsidR="001A3F77">
              <w:t>delse med salg af andelsboliger, gaver, arv og generationsskifter, som den generelle suspension af adgangen til at få foretaget o</w:t>
            </w:r>
            <w:r w:rsidR="001A3F77">
              <w:t>m</w:t>
            </w:r>
            <w:r w:rsidR="001A3F77">
              <w:t>vurderinger uden for de almi</w:t>
            </w:r>
            <w:r w:rsidR="001A3F77">
              <w:t>n</w:t>
            </w:r>
            <w:r w:rsidR="001A3F77">
              <w:t>delige vurderingsterminer me</w:t>
            </w:r>
            <w:r w:rsidR="001A3F77">
              <w:t>d</w:t>
            </w:r>
            <w:r w:rsidR="001A3F77">
              <w:t>fører.</w:t>
            </w:r>
          </w:p>
          <w:p w:rsidR="00C370B5" w:rsidRDefault="00C370B5" w:rsidP="001A3F77">
            <w:pPr>
              <w:pStyle w:val="Tabel-BrdtekstmedafstandptekstGaramond"/>
            </w:pPr>
          </w:p>
          <w:p w:rsidR="00C370B5" w:rsidRPr="00B5346F" w:rsidRDefault="00C370B5" w:rsidP="001A3F77">
            <w:pPr>
              <w:pStyle w:val="Tabel-BrdtekstmedafstandptekstGaramond"/>
            </w:pPr>
            <w:r>
              <w:t>Særligt for andelsboligforeni</w:t>
            </w:r>
            <w:r>
              <w:t>n</w:t>
            </w:r>
            <w:r>
              <w:t>ger medfører suspensionen, at foreningerne forhindres i at fastsætte en maksimalpris, der i videst muligt omfang afspejler de faktiske forhold, hvis man benytter de offentlige vurderi</w:t>
            </w:r>
            <w:r>
              <w:t>n</w:t>
            </w:r>
            <w:r>
              <w:t>ger ved værdiansættelsen. Dette gælder specielt ved større o</w:t>
            </w:r>
            <w:r>
              <w:t>m</w:t>
            </w:r>
            <w:r>
              <w:t>bygninger.</w:t>
            </w:r>
          </w:p>
        </w:tc>
        <w:tc>
          <w:tcPr>
            <w:tcW w:w="204" w:type="dxa"/>
            <w:shd w:val="clear" w:color="auto" w:fill="FFFFFF" w:themeFill="background1"/>
          </w:tcPr>
          <w:p w:rsidR="0045370B" w:rsidRPr="00B5346F" w:rsidRDefault="0045370B" w:rsidP="00430825"/>
        </w:tc>
        <w:tc>
          <w:tcPr>
            <w:tcW w:w="3212" w:type="dxa"/>
            <w:tcBorders>
              <w:bottom w:val="single" w:sz="4" w:space="0" w:color="14143C" w:themeColor="accent1"/>
            </w:tcBorders>
            <w:shd w:val="clear" w:color="auto" w:fill="D2CED8"/>
          </w:tcPr>
          <w:p w:rsidR="0045370B" w:rsidRDefault="0020002A" w:rsidP="00430825">
            <w:pPr>
              <w:pStyle w:val="Tabel-BrdtekstmedafstandptekstGaramond"/>
            </w:pPr>
            <w:r>
              <w:t>Der henvises til kommentarer til henvendelserne fra Dansk By</w:t>
            </w:r>
            <w:r>
              <w:t>g</w:t>
            </w:r>
            <w:r>
              <w:t>geri og Dansk Ejendomsmæ</w:t>
            </w:r>
            <w:r>
              <w:t>g</w:t>
            </w:r>
            <w:r>
              <w:t>lerforening.</w:t>
            </w:r>
          </w:p>
          <w:p w:rsidR="0020002A" w:rsidRDefault="0020002A" w:rsidP="00430825">
            <w:pPr>
              <w:pStyle w:val="Tabel-BrdtekstmedafstandptekstGaramond"/>
            </w:pPr>
          </w:p>
          <w:p w:rsidR="0020002A" w:rsidRDefault="0020002A" w:rsidP="00430825">
            <w:pPr>
              <w:pStyle w:val="Tabel-BrdtekstmedafstandptekstGaramond"/>
            </w:pPr>
          </w:p>
          <w:p w:rsidR="0020002A" w:rsidRDefault="0020002A" w:rsidP="00430825">
            <w:pPr>
              <w:pStyle w:val="Tabel-BrdtekstmedafstandptekstGaramond"/>
            </w:pPr>
          </w:p>
          <w:p w:rsidR="0020002A" w:rsidRDefault="0020002A" w:rsidP="00430825">
            <w:pPr>
              <w:pStyle w:val="Tabel-BrdtekstmedafstandptekstGaramond"/>
            </w:pPr>
          </w:p>
          <w:p w:rsidR="0020002A" w:rsidRDefault="0020002A" w:rsidP="00430825">
            <w:pPr>
              <w:pStyle w:val="Tabel-BrdtekstmedafstandptekstGaramond"/>
            </w:pPr>
          </w:p>
          <w:p w:rsidR="0020002A" w:rsidRDefault="0020002A" w:rsidP="00430825">
            <w:pPr>
              <w:pStyle w:val="Tabel-BrdtekstmedafstandptekstGaramond"/>
            </w:pPr>
          </w:p>
          <w:p w:rsidR="0020002A" w:rsidRPr="00B5346F" w:rsidRDefault="002B0441" w:rsidP="00430825">
            <w:pPr>
              <w:pStyle w:val="Tabel-BrdtekstmedafstandptekstGaramond"/>
            </w:pPr>
            <w:r>
              <w:t>Der henvises til kommentarer til henvendelse</w:t>
            </w:r>
            <w:r w:rsidR="007D1862">
              <w:t>r</w:t>
            </w:r>
            <w:r>
              <w:t>n</w:t>
            </w:r>
            <w:r w:rsidR="007D1862">
              <w:t>e</w:t>
            </w:r>
            <w:r>
              <w:t xml:space="preserve"> fra Dansk Ejendomsmæglerfore</w:t>
            </w:r>
            <w:r w:rsidR="007D1862">
              <w:t>ning og FSR.</w:t>
            </w:r>
          </w:p>
        </w:tc>
      </w:tr>
      <w:tr w:rsidR="0045370B" w:rsidRPr="00B5346F" w:rsidTr="0045370B">
        <w:tc>
          <w:tcPr>
            <w:tcW w:w="2813" w:type="dxa"/>
            <w:tcBorders>
              <w:bottom w:val="single" w:sz="4" w:space="0" w:color="D1C5C3" w:themeColor="accent3"/>
            </w:tcBorders>
            <w:shd w:val="clear" w:color="auto" w:fill="FBF9F9"/>
          </w:tcPr>
          <w:p w:rsidR="0045370B" w:rsidRPr="00600E3E" w:rsidRDefault="0045370B" w:rsidP="00430825">
            <w:pPr>
              <w:pStyle w:val="Tabel-BrdtekstmedafstandptekstGaramond"/>
              <w:rPr>
                <w:i/>
              </w:rPr>
            </w:pPr>
            <w:r>
              <w:rPr>
                <w:i/>
              </w:rPr>
              <w:t>Erhvervsstyrelsen</w:t>
            </w:r>
          </w:p>
        </w:tc>
        <w:tc>
          <w:tcPr>
            <w:tcW w:w="189" w:type="dxa"/>
            <w:shd w:val="clear" w:color="auto" w:fill="FFFFFF" w:themeFill="background1"/>
          </w:tcPr>
          <w:p w:rsidR="0045370B" w:rsidRPr="00B5346F" w:rsidRDefault="0045370B" w:rsidP="00430825"/>
        </w:tc>
        <w:tc>
          <w:tcPr>
            <w:tcW w:w="3221" w:type="dxa"/>
            <w:tcBorders>
              <w:bottom w:val="single" w:sz="4" w:space="0" w:color="D1C5C3" w:themeColor="accent3"/>
            </w:tcBorders>
            <w:shd w:val="clear" w:color="auto" w:fill="FBF9F9"/>
          </w:tcPr>
          <w:p w:rsidR="0045370B" w:rsidRPr="00B5346F" w:rsidRDefault="00BD1D3F" w:rsidP="00430825">
            <w:pPr>
              <w:pStyle w:val="Tabel-BrdtekstmedafstandptekstGaramond"/>
            </w:pPr>
            <w:r>
              <w:t>Ingen bemærkninger.</w:t>
            </w:r>
          </w:p>
        </w:tc>
        <w:tc>
          <w:tcPr>
            <w:tcW w:w="204" w:type="dxa"/>
            <w:shd w:val="clear" w:color="auto" w:fill="FFFFFF" w:themeFill="background1"/>
          </w:tcPr>
          <w:p w:rsidR="0045370B" w:rsidRPr="00B5346F" w:rsidRDefault="0045370B" w:rsidP="00430825"/>
        </w:tc>
        <w:tc>
          <w:tcPr>
            <w:tcW w:w="3212" w:type="dxa"/>
            <w:tcBorders>
              <w:bottom w:val="single" w:sz="4" w:space="0" w:color="14143C" w:themeColor="accent1"/>
            </w:tcBorders>
            <w:shd w:val="clear" w:color="auto" w:fill="D2CED8"/>
          </w:tcPr>
          <w:p w:rsidR="0045370B" w:rsidRPr="00B5346F" w:rsidRDefault="0045370B" w:rsidP="00430825">
            <w:pPr>
              <w:pStyle w:val="Tabel-BrdtekstmedafstandptekstGaramond"/>
            </w:pPr>
          </w:p>
        </w:tc>
      </w:tr>
      <w:tr w:rsidR="0045370B" w:rsidRPr="00B5346F" w:rsidTr="0045370B">
        <w:tc>
          <w:tcPr>
            <w:tcW w:w="2813" w:type="dxa"/>
            <w:tcBorders>
              <w:bottom w:val="single" w:sz="4" w:space="0" w:color="D1C5C3" w:themeColor="accent3"/>
            </w:tcBorders>
            <w:shd w:val="clear" w:color="auto" w:fill="FBF9F9"/>
          </w:tcPr>
          <w:p w:rsidR="0045370B" w:rsidRPr="00600E3E" w:rsidRDefault="0045370B" w:rsidP="00430825">
            <w:pPr>
              <w:pStyle w:val="Tabel-BrdtekstmedafstandptekstGaramond"/>
              <w:rPr>
                <w:i/>
              </w:rPr>
            </w:pPr>
            <w:r>
              <w:rPr>
                <w:i/>
              </w:rPr>
              <w:t>FSR danske revisorer</w:t>
            </w:r>
          </w:p>
        </w:tc>
        <w:tc>
          <w:tcPr>
            <w:tcW w:w="189" w:type="dxa"/>
            <w:shd w:val="clear" w:color="auto" w:fill="FFFFFF" w:themeFill="background1"/>
          </w:tcPr>
          <w:p w:rsidR="0045370B" w:rsidRPr="00B5346F" w:rsidRDefault="0045370B" w:rsidP="00430825"/>
        </w:tc>
        <w:tc>
          <w:tcPr>
            <w:tcW w:w="3221" w:type="dxa"/>
            <w:tcBorders>
              <w:bottom w:val="single" w:sz="4" w:space="0" w:color="D1C5C3" w:themeColor="accent3"/>
            </w:tcBorders>
            <w:shd w:val="clear" w:color="auto" w:fill="FBF9F9"/>
          </w:tcPr>
          <w:p w:rsidR="0045370B" w:rsidRDefault="00C5457D" w:rsidP="00C5457D">
            <w:pPr>
              <w:pStyle w:val="Tabel-BrdtekstmedafstandptekstGaramond"/>
            </w:pPr>
            <w:r>
              <w:t>FSR finder det bemærkelse</w:t>
            </w:r>
            <w:r>
              <w:t>s</w:t>
            </w:r>
            <w:r>
              <w:t>værdigt, at lovforslaget ikke sidestiller ejere af erhvervseje</w:t>
            </w:r>
            <w:r>
              <w:t>n</w:t>
            </w:r>
            <w:r>
              <w:t>domme med ejere af ejerboliger. Det drejer sig f.eks. om følge</w:t>
            </w:r>
            <w:r>
              <w:t>n</w:t>
            </w:r>
            <w:r>
              <w:t>de:</w:t>
            </w:r>
          </w:p>
          <w:p w:rsidR="00C5457D" w:rsidRDefault="00C5457D" w:rsidP="00C5457D">
            <w:pPr>
              <w:pStyle w:val="Tabel-BrdtekstmedafstandptekstGaramond"/>
            </w:pPr>
          </w:p>
          <w:p w:rsidR="00C5457D" w:rsidRDefault="00C5457D" w:rsidP="00C5457D">
            <w:pPr>
              <w:pStyle w:val="Tabel-BrdtekstmedafstandptekstGaramond"/>
              <w:numPr>
                <w:ilvl w:val="0"/>
                <w:numId w:val="14"/>
              </w:numPr>
            </w:pPr>
            <w:r>
              <w:t>Intet generelt nedslag som for ejerboliger.</w:t>
            </w:r>
          </w:p>
          <w:p w:rsidR="00C05E79" w:rsidRDefault="00C05E79" w:rsidP="00C05E79">
            <w:pPr>
              <w:pStyle w:val="Tabel-BrdtekstmedafstandptekstGaramond"/>
              <w:ind w:left="587"/>
            </w:pPr>
          </w:p>
          <w:p w:rsidR="00C05E79" w:rsidRDefault="00C05E79" w:rsidP="00C05E79">
            <w:pPr>
              <w:pStyle w:val="Tabel-BrdtekstmedafstandptekstGaramond"/>
              <w:ind w:left="587"/>
            </w:pPr>
          </w:p>
          <w:p w:rsidR="00C5457D" w:rsidRDefault="00C5457D" w:rsidP="00C5457D">
            <w:pPr>
              <w:pStyle w:val="Tabel-BrdtekstmedafstandptekstGaramond"/>
              <w:numPr>
                <w:ilvl w:val="0"/>
                <w:numId w:val="14"/>
              </w:numPr>
            </w:pPr>
            <w:r>
              <w:t>Ingen påtænkt tilbagebet</w:t>
            </w:r>
            <w:r>
              <w:t>a</w:t>
            </w:r>
            <w:r>
              <w:t>lingsordning.</w:t>
            </w:r>
          </w:p>
          <w:p w:rsidR="00C05E79" w:rsidRDefault="00C05E79" w:rsidP="00C05E79">
            <w:pPr>
              <w:pStyle w:val="Tabel-BrdtekstmedafstandptekstGaramond"/>
            </w:pPr>
          </w:p>
          <w:p w:rsidR="00C05E79" w:rsidRDefault="00C05E79" w:rsidP="00C05E79">
            <w:pPr>
              <w:pStyle w:val="Tabel-BrdtekstmedafstandptekstGaramond"/>
            </w:pPr>
          </w:p>
          <w:p w:rsidR="00C5457D" w:rsidRDefault="00C5457D" w:rsidP="00C5457D">
            <w:pPr>
              <w:pStyle w:val="Tabel-BrdtekstmedafstandptekstGaramond"/>
              <w:numPr>
                <w:ilvl w:val="0"/>
                <w:numId w:val="14"/>
              </w:numPr>
            </w:pPr>
            <w:r>
              <w:t>Ingen lempelse vedr. tin</w:t>
            </w:r>
            <w:r>
              <w:t>g</w:t>
            </w:r>
            <w:r>
              <w:t>lysningsafgift, som det er sket for ejerboliger.</w:t>
            </w:r>
          </w:p>
          <w:p w:rsidR="00C05E79" w:rsidRDefault="00C05E79" w:rsidP="00C05E79">
            <w:pPr>
              <w:pStyle w:val="Tabel-BrdtekstmedafstandptekstGaramond"/>
              <w:ind w:left="587"/>
            </w:pPr>
          </w:p>
          <w:p w:rsidR="00C5457D" w:rsidRDefault="00C5457D" w:rsidP="00C5457D">
            <w:pPr>
              <w:pStyle w:val="Tabel-BrdtekstmedafstandptekstGaramond"/>
              <w:numPr>
                <w:ilvl w:val="0"/>
                <w:numId w:val="14"/>
              </w:numPr>
            </w:pPr>
            <w:r>
              <w:t>Ingen mulighed for omvu</w:t>
            </w:r>
            <w:r>
              <w:t>r</w:t>
            </w:r>
            <w:r>
              <w:t>dering uden for de almind</w:t>
            </w:r>
            <w:r>
              <w:t>e</w:t>
            </w:r>
            <w:r>
              <w:t>lige vurderingsterminer (vurderingslovens § 4).</w:t>
            </w:r>
          </w:p>
          <w:p w:rsidR="00C5457D" w:rsidRDefault="00C5457D" w:rsidP="00C5457D">
            <w:pPr>
              <w:pStyle w:val="Tabel-BrdtekstmedafstandptekstGaramond"/>
            </w:pPr>
          </w:p>
          <w:p w:rsidR="00C5457D" w:rsidRDefault="00C5457D" w:rsidP="00C5457D">
            <w:pPr>
              <w:pStyle w:val="Tabel-BrdtekstmedafstandptekstGaramond"/>
            </w:pPr>
            <w:r>
              <w:t>Ejendomsvurderingen har b</w:t>
            </w:r>
            <w:r>
              <w:t>e</w:t>
            </w:r>
            <w:r>
              <w:t>tydning for meget andet end ejendomsskatter og er en ko</w:t>
            </w:r>
            <w:r>
              <w:t>r</w:t>
            </w:r>
            <w:r>
              <w:t>rektionsmulighed i mange situ</w:t>
            </w:r>
            <w:r>
              <w:t>a</w:t>
            </w:r>
            <w:r>
              <w:t>tioner - bl.a. behandling af dødsboer, familieoverdragelse af ejendomme og generationsskifte af virksomheder.</w:t>
            </w:r>
            <w:r w:rsidR="00894888">
              <w:t xml:space="preserve"> </w:t>
            </w:r>
          </w:p>
          <w:p w:rsidR="00C5457D" w:rsidRDefault="00C5457D" w:rsidP="00C5457D">
            <w:pPr>
              <w:pStyle w:val="Tabel-BrdtekstmedafstandptekstGaramond"/>
            </w:pPr>
          </w:p>
          <w:p w:rsidR="00C5457D" w:rsidRDefault="00C5457D" w:rsidP="00894888">
            <w:pPr>
              <w:pStyle w:val="Tabel-BrdtekstmedafstandptekstGaramond"/>
            </w:pPr>
            <w:r>
              <w:t xml:space="preserve">FSR finder </w:t>
            </w:r>
            <w:r w:rsidR="00894888">
              <w:t xml:space="preserve">ud fra ovenstående hensyn, at der er et </w:t>
            </w:r>
            <w:r>
              <w:t>akut behov for, at det igen bliver muligt at foretage vurderinger uden for de almindelige vurderingsterm</w:t>
            </w:r>
            <w:r>
              <w:t>i</w:t>
            </w:r>
            <w:r>
              <w:t>ner</w:t>
            </w:r>
            <w:r w:rsidR="00894888">
              <w:t>. Manglende mulighed for en § 4-vurdering kan forsinke pr</w:t>
            </w:r>
            <w:r w:rsidR="00894888">
              <w:t>o</w:t>
            </w:r>
            <w:r w:rsidR="00894888">
              <w:t>cessen i forbindelse med gen</w:t>
            </w:r>
            <w:r w:rsidR="00894888">
              <w:t>e</w:t>
            </w:r>
            <w:r w:rsidR="00894888">
              <w:t>rationsskifter og dødsbob</w:t>
            </w:r>
            <w:r w:rsidR="00894888">
              <w:t>e</w:t>
            </w:r>
            <w:r w:rsidR="00894888">
              <w:t>handling væsentligt og øge usi</w:t>
            </w:r>
            <w:r w:rsidR="00894888">
              <w:t>k</w:t>
            </w:r>
            <w:r w:rsidR="00894888">
              <w:t xml:space="preserve">kerheden for de involverede parter. </w:t>
            </w:r>
          </w:p>
          <w:p w:rsidR="00894888" w:rsidRDefault="00894888" w:rsidP="00894888">
            <w:pPr>
              <w:pStyle w:val="Tabel-BrdtekstmedafstandptekstGaramond"/>
            </w:pPr>
          </w:p>
          <w:p w:rsidR="00894888" w:rsidRDefault="00894888" w:rsidP="00894888">
            <w:pPr>
              <w:pStyle w:val="Tabel-BrdtekstmedafstandptekstGaramond"/>
            </w:pPr>
            <w:r>
              <w:t xml:space="preserve">Efter </w:t>
            </w:r>
            <w:proofErr w:type="spellStart"/>
            <w:r>
              <w:t>FSRs</w:t>
            </w:r>
            <w:proofErr w:type="spellEnd"/>
            <w:r>
              <w:t xml:space="preserve"> opfattelse bør fo</w:t>
            </w:r>
            <w:r>
              <w:t>r</w:t>
            </w:r>
            <w:r>
              <w:t>slaget tilpasses sådan, at der som minimum gives mulighed for omvurderinger efter vurd</w:t>
            </w:r>
            <w:r>
              <w:t>e</w:t>
            </w:r>
            <w:r>
              <w:lastRenderedPageBreak/>
              <w:t>ringslovens § 4 i situationer, hvor en ejendom planlægges overdraget.</w:t>
            </w:r>
          </w:p>
          <w:p w:rsidR="00894888" w:rsidRDefault="00894888" w:rsidP="00894888">
            <w:pPr>
              <w:pStyle w:val="Tabel-BrdtekstmedafstandptekstGaramond"/>
            </w:pPr>
          </w:p>
          <w:p w:rsidR="00CB6AFD" w:rsidRDefault="00CB6AFD" w:rsidP="00CB6AFD">
            <w:pPr>
              <w:pStyle w:val="Tabel-BrdtekstmedafstandptekstGaramond"/>
            </w:pPr>
            <w:r>
              <w:t>FSR konstaterer, at SKATs m</w:t>
            </w:r>
            <w:r>
              <w:t>u</w:t>
            </w:r>
            <w:r>
              <w:t>ligheder for af egen drift at æ</w:t>
            </w:r>
            <w:r>
              <w:t>n</w:t>
            </w:r>
            <w:r>
              <w:t>dre 2011- og 2012-vurderinger [i nedadgående retning] foreslås forlænget. I mangel af adgang til § 4-vurderinger finder FSR, at vurderinger også bør kunne korrigeres på ejerens foranle</w:t>
            </w:r>
            <w:r>
              <w:t>d</w:t>
            </w:r>
            <w:r>
              <w:t>ning, hvis der konstateres større forskelle mellem en vurdering og ejendommens faktiske ma</w:t>
            </w:r>
            <w:r>
              <w:t>r</w:t>
            </w:r>
            <w:r>
              <w:t>kedspris.</w:t>
            </w:r>
          </w:p>
          <w:p w:rsidR="00CB6AFD" w:rsidRDefault="00CB6AFD" w:rsidP="00CB6AFD">
            <w:pPr>
              <w:pStyle w:val="Tabel-BrdtekstmedafstandptekstGaramond"/>
            </w:pPr>
          </w:p>
          <w:p w:rsidR="000D1D3E" w:rsidRDefault="000D1D3E" w:rsidP="00CB6AFD">
            <w:pPr>
              <w:pStyle w:val="Tabel-BrdtekstmedafstandptekstGaramond"/>
            </w:pPr>
          </w:p>
          <w:p w:rsidR="00894888" w:rsidRPr="00B5346F" w:rsidRDefault="00A842F5" w:rsidP="00CB6AFD">
            <w:pPr>
              <w:pStyle w:val="Tabel-BrdtekstmedafstandptekstGaramond"/>
            </w:pPr>
            <w:r>
              <w:t>FSR er videre af den opfattelse, at tinglysningsafgiftsloven bør ændres, sådan at der ikke skal betales tinglysningsafgift af en værdi, der er højere end ove</w:t>
            </w:r>
            <w:r>
              <w:t>r</w:t>
            </w:r>
            <w:r>
              <w:t>dragelsessummen.</w:t>
            </w:r>
            <w:r w:rsidR="00CB6AFD">
              <w:t xml:space="preserve"> </w:t>
            </w:r>
          </w:p>
        </w:tc>
        <w:tc>
          <w:tcPr>
            <w:tcW w:w="204" w:type="dxa"/>
            <w:shd w:val="clear" w:color="auto" w:fill="FFFFFF" w:themeFill="background1"/>
          </w:tcPr>
          <w:p w:rsidR="0045370B" w:rsidRPr="00B5346F" w:rsidRDefault="0045370B" w:rsidP="00430825"/>
        </w:tc>
        <w:tc>
          <w:tcPr>
            <w:tcW w:w="3212" w:type="dxa"/>
            <w:tcBorders>
              <w:bottom w:val="single" w:sz="4" w:space="0" w:color="14143C" w:themeColor="accent1"/>
            </w:tcBorders>
            <w:shd w:val="clear" w:color="auto" w:fill="D2CED8"/>
          </w:tcPr>
          <w:p w:rsidR="0045370B" w:rsidRDefault="0045370B" w:rsidP="00430825">
            <w:pPr>
              <w:pStyle w:val="Tabel-BrdtekstmedafstandptekstGaramond"/>
            </w:pPr>
          </w:p>
          <w:p w:rsidR="00C05E79" w:rsidRDefault="00C05E79" w:rsidP="00430825">
            <w:pPr>
              <w:pStyle w:val="Tabel-BrdtekstmedafstandptekstGaramond"/>
            </w:pPr>
          </w:p>
          <w:p w:rsidR="00C05E79" w:rsidRDefault="00C05E79" w:rsidP="00430825">
            <w:pPr>
              <w:pStyle w:val="Tabel-BrdtekstmedafstandptekstGaramond"/>
            </w:pPr>
          </w:p>
          <w:p w:rsidR="00C05E79" w:rsidRDefault="00C05E79" w:rsidP="00430825">
            <w:pPr>
              <w:pStyle w:val="Tabel-BrdtekstmedafstandptekstGaramond"/>
            </w:pPr>
          </w:p>
          <w:p w:rsidR="00C05E79" w:rsidRDefault="00C05E79" w:rsidP="00430825">
            <w:pPr>
              <w:pStyle w:val="Tabel-BrdtekstmedafstandptekstGaramond"/>
            </w:pPr>
          </w:p>
          <w:p w:rsidR="00C05E79" w:rsidRDefault="00C05E79" w:rsidP="00430825">
            <w:pPr>
              <w:pStyle w:val="Tabel-BrdtekstmedafstandptekstGaramond"/>
            </w:pPr>
          </w:p>
          <w:p w:rsidR="00C05E79" w:rsidRDefault="00C05E79" w:rsidP="00430825">
            <w:pPr>
              <w:pStyle w:val="Tabel-BrdtekstmedafstandptekstGaramond"/>
            </w:pPr>
          </w:p>
          <w:p w:rsidR="00C05E79" w:rsidRDefault="00C05E79" w:rsidP="00430825">
            <w:pPr>
              <w:pStyle w:val="Tabel-BrdtekstmedafstandptekstGaramond"/>
            </w:pPr>
            <w:r>
              <w:t>Der henvises til kommentarer til henvendelsen fra Dansk Bygg</w:t>
            </w:r>
            <w:r>
              <w:t>e</w:t>
            </w:r>
            <w:r>
              <w:t>ri.</w:t>
            </w:r>
          </w:p>
          <w:p w:rsidR="00C05E79" w:rsidRDefault="00C05E79" w:rsidP="00430825">
            <w:pPr>
              <w:pStyle w:val="Tabel-BrdtekstmedafstandptekstGaramond"/>
            </w:pPr>
          </w:p>
          <w:p w:rsidR="00C05E79" w:rsidRDefault="00C05E79" w:rsidP="00430825">
            <w:pPr>
              <w:pStyle w:val="Tabel-BrdtekstmedafstandptekstGaramond"/>
            </w:pPr>
            <w:r>
              <w:t>Der henvises til kommentarer til henvendelsen fra BL Danmarks Almene Boliger.</w:t>
            </w:r>
          </w:p>
          <w:p w:rsidR="00C05E79" w:rsidRDefault="00C05E79" w:rsidP="00430825">
            <w:pPr>
              <w:pStyle w:val="Tabel-BrdtekstmedafstandptekstGaramond"/>
            </w:pPr>
          </w:p>
          <w:p w:rsidR="00C05E79" w:rsidRDefault="00C05E79" w:rsidP="00430825">
            <w:pPr>
              <w:pStyle w:val="Tabel-BrdtekstmedafstandptekstGaramond"/>
            </w:pPr>
            <w:r>
              <w:t>Der henvises til kommentarer til henvendelsen fra Dansk Eje</w:t>
            </w:r>
            <w:r>
              <w:t>n</w:t>
            </w:r>
            <w:r>
              <w:t>domsmæglerforening.</w:t>
            </w:r>
          </w:p>
          <w:p w:rsidR="00C05E79" w:rsidRDefault="00C05E79" w:rsidP="00430825">
            <w:pPr>
              <w:pStyle w:val="Tabel-BrdtekstmedafstandptekstGaramond"/>
            </w:pPr>
          </w:p>
          <w:p w:rsidR="00C05E79" w:rsidRDefault="00C05E79" w:rsidP="00C05E79">
            <w:pPr>
              <w:pStyle w:val="Tabel-BrdtekstmedafstandptekstGaramond"/>
            </w:pPr>
            <w:r>
              <w:t>Der gælder på dette område samme regler for ejerboliger og erhvervsejendomme m.v.</w:t>
            </w:r>
          </w:p>
          <w:p w:rsidR="00C05E79" w:rsidRDefault="00C05E79" w:rsidP="00C05E79">
            <w:pPr>
              <w:pStyle w:val="Tabel-BrdtekstmedafstandptekstGaramond"/>
            </w:pPr>
          </w:p>
          <w:p w:rsidR="00C05E79" w:rsidRDefault="00C05E79" w:rsidP="00C05E79">
            <w:pPr>
              <w:pStyle w:val="Tabel-BrdtekstmedafstandptekstGaramond"/>
            </w:pPr>
          </w:p>
          <w:p w:rsidR="00C05E79" w:rsidRDefault="00C05E79" w:rsidP="00C05E79">
            <w:pPr>
              <w:pStyle w:val="Tabel-BrdtekstmedafstandptekstGaramond"/>
            </w:pPr>
          </w:p>
          <w:p w:rsidR="004A499E" w:rsidRDefault="004A499E" w:rsidP="00C05E79">
            <w:pPr>
              <w:pStyle w:val="Tabel-BrdtekstmedafstandptekstGaramond"/>
            </w:pPr>
          </w:p>
          <w:p w:rsidR="004A499E" w:rsidRDefault="004A499E" w:rsidP="00C05E79">
            <w:pPr>
              <w:pStyle w:val="Tabel-BrdtekstmedafstandptekstGaramond"/>
            </w:pPr>
          </w:p>
          <w:p w:rsidR="004A499E" w:rsidRDefault="004A499E" w:rsidP="00C05E79">
            <w:pPr>
              <w:pStyle w:val="Tabel-BrdtekstmedafstandptekstGaramond"/>
            </w:pPr>
          </w:p>
          <w:p w:rsidR="004A499E" w:rsidRDefault="004A499E" w:rsidP="00C05E79">
            <w:pPr>
              <w:pStyle w:val="Tabel-BrdtekstmedafstandptekstGaramond"/>
            </w:pPr>
          </w:p>
          <w:p w:rsidR="004A499E" w:rsidRDefault="004A499E" w:rsidP="00C05E79">
            <w:pPr>
              <w:pStyle w:val="Tabel-BrdtekstmedafstandptekstGaramond"/>
            </w:pPr>
          </w:p>
          <w:p w:rsidR="004A499E" w:rsidRDefault="004A499E" w:rsidP="00C05E79">
            <w:pPr>
              <w:pStyle w:val="Tabel-BrdtekstmedafstandptekstGaramond"/>
            </w:pPr>
          </w:p>
          <w:p w:rsidR="004A499E" w:rsidRDefault="004A499E" w:rsidP="00C05E79">
            <w:pPr>
              <w:pStyle w:val="Tabel-BrdtekstmedafstandptekstGaramond"/>
            </w:pPr>
          </w:p>
          <w:p w:rsidR="004A499E" w:rsidRDefault="004A499E" w:rsidP="00C05E79">
            <w:pPr>
              <w:pStyle w:val="Tabel-BrdtekstmedafstandptekstGaramond"/>
            </w:pPr>
          </w:p>
          <w:p w:rsidR="00FE3B76" w:rsidRDefault="00D83518" w:rsidP="004C590E">
            <w:pPr>
              <w:pStyle w:val="Tabel-BrdtekstmedafstandptekstGaramond"/>
            </w:pPr>
            <w:r>
              <w:t xml:space="preserve">Der </w:t>
            </w:r>
            <w:r w:rsidR="00E93910">
              <w:t xml:space="preserve">består </w:t>
            </w:r>
            <w:r>
              <w:t xml:space="preserve">ikke </w:t>
            </w:r>
            <w:r w:rsidR="00E93910">
              <w:t>nogen pligt til at anvende de offentlige vurderi</w:t>
            </w:r>
            <w:r w:rsidR="00E93910">
              <w:t>n</w:t>
            </w:r>
            <w:r w:rsidR="00E93910">
              <w:t xml:space="preserve">ger </w:t>
            </w:r>
            <w:r w:rsidR="00870970">
              <w:t xml:space="preserve">ved generationsskifte og </w:t>
            </w:r>
            <w:proofErr w:type="spellStart"/>
            <w:r w:rsidR="00870970">
              <w:t>b</w:t>
            </w:r>
            <w:r>
              <w:t>o</w:t>
            </w:r>
            <w:r w:rsidR="00870970">
              <w:t>behandling</w:t>
            </w:r>
            <w:proofErr w:type="spellEnd"/>
            <w:r w:rsidR="00870970">
              <w:t>. Kravet er alene, at aktiver ansættes til deres væ</w:t>
            </w:r>
            <w:r w:rsidR="00870970">
              <w:t>r</w:t>
            </w:r>
            <w:r w:rsidR="00870970">
              <w:t>di i handel og vandel.</w:t>
            </w:r>
            <w:r>
              <w:t xml:space="preserve"> Det fre</w:t>
            </w:r>
            <w:r>
              <w:t>m</w:t>
            </w:r>
            <w:r>
              <w:t>går således af værdiansættelse</w:t>
            </w:r>
            <w:r>
              <w:t>s</w:t>
            </w:r>
            <w:r>
              <w:t xml:space="preserve">cirkulæret, at </w:t>
            </w:r>
            <w:r w:rsidR="00AB37C9">
              <w:t>værdien af fast ejendom kan ansættes til eje</w:t>
            </w:r>
            <w:r w:rsidR="00AB37C9">
              <w:t>n</w:t>
            </w:r>
            <w:r w:rsidR="00AB37C9">
              <w:t>domsvurderingen +/- 15 pct., ”</w:t>
            </w:r>
            <w:proofErr w:type="gramStart"/>
            <w:r w:rsidR="00AB37C9" w:rsidRPr="00AB37C9">
              <w:rPr>
                <w:i/>
              </w:rPr>
              <w:t>…medmindre</w:t>
            </w:r>
            <w:proofErr w:type="gramEnd"/>
            <w:r w:rsidR="00AB37C9" w:rsidRPr="00AB37C9">
              <w:rPr>
                <w:i/>
              </w:rPr>
              <w:t xml:space="preserve"> boet eller parterne har oplyst særlige omstændigheder, som begrunder, at man ikke følger denne fremgangsmåde. Som eksempel herpå kan nævnes stærkt faldende prisu</w:t>
            </w:r>
            <w:r w:rsidR="00AB37C9" w:rsidRPr="00AB37C9">
              <w:rPr>
                <w:i/>
              </w:rPr>
              <w:t>d</w:t>
            </w:r>
            <w:r w:rsidR="00AB37C9" w:rsidRPr="00AB37C9">
              <w:rPr>
                <w:i/>
              </w:rPr>
              <w:t>vikling for fast ejendom…</w:t>
            </w:r>
            <w:r w:rsidR="00AB37C9">
              <w:t>” (cirk</w:t>
            </w:r>
            <w:r w:rsidR="00AB37C9">
              <w:t>u</w:t>
            </w:r>
            <w:r w:rsidR="00AB37C9">
              <w:t xml:space="preserve">lære nr. 185 af 17. november </w:t>
            </w:r>
            <w:r w:rsidR="00AB37C9">
              <w:lastRenderedPageBreak/>
              <w:t xml:space="preserve">1982, punkt 6). </w:t>
            </w:r>
          </w:p>
          <w:p w:rsidR="004C590E" w:rsidRDefault="004C590E" w:rsidP="004C590E">
            <w:pPr>
              <w:pStyle w:val="Tabel-BrdtekstmedafstandptekstGaramond"/>
            </w:pPr>
          </w:p>
          <w:p w:rsidR="00D83518" w:rsidRDefault="00D83518" w:rsidP="004C590E">
            <w:pPr>
              <w:pStyle w:val="Tabel-BrdtekstmedafstandptekstGaramond"/>
            </w:pPr>
          </w:p>
          <w:p w:rsidR="008C64E1" w:rsidRDefault="008C64E1" w:rsidP="004C590E">
            <w:pPr>
              <w:pStyle w:val="Tabel-BrdtekstmedafstandptekstGaramond"/>
            </w:pPr>
          </w:p>
          <w:p w:rsidR="0067171A" w:rsidRDefault="0067171A" w:rsidP="00407394">
            <w:pPr>
              <w:pStyle w:val="Tabel-BrdtekstmedafstandptekstGaramond"/>
            </w:pPr>
            <w:r>
              <w:t>En i</w:t>
            </w:r>
            <w:r w:rsidR="00407394">
              <w:t xml:space="preserve">mødekommelse af dette ønske ville reelt </w:t>
            </w:r>
            <w:r>
              <w:t>indebære a</w:t>
            </w:r>
            <w:r>
              <w:t>d</w:t>
            </w:r>
            <w:r>
              <w:t>gang til</w:t>
            </w:r>
            <w:r w:rsidR="005D21A4">
              <w:t xml:space="preserve"> at klage over alle vurd</w:t>
            </w:r>
            <w:r w:rsidR="005D21A4">
              <w:t>e</w:t>
            </w:r>
            <w:r w:rsidR="005D21A4">
              <w:t>ringer nu</w:t>
            </w:r>
            <w:r w:rsidR="00407394">
              <w:t xml:space="preserve">. </w:t>
            </w:r>
            <w:r>
              <w:t>Regeringen finder det imidlertid fortsat vigtigt, at den generelle klagesagsbehandling - dvs. klager over de videreførte 2011- og 2012-vurderinger - kan foretages med anvendelse af et nyt vurderingssystem. Der he</w:t>
            </w:r>
            <w:r>
              <w:t>n</w:t>
            </w:r>
            <w:r>
              <w:t>vises i øvrigt til kommentarer til henvendelsen fra Dansk Bygg</w:t>
            </w:r>
            <w:r>
              <w:t>e</w:t>
            </w:r>
            <w:r>
              <w:t>ri.</w:t>
            </w:r>
          </w:p>
          <w:p w:rsidR="000D1D3E" w:rsidRDefault="000D1D3E" w:rsidP="00407394">
            <w:pPr>
              <w:pStyle w:val="Tabel-BrdtekstmedafstandptekstGaramond"/>
            </w:pPr>
          </w:p>
          <w:p w:rsidR="00407394" w:rsidRPr="00B5346F" w:rsidRDefault="00031936" w:rsidP="00407394">
            <w:pPr>
              <w:pStyle w:val="Tabel-BrdtekstmedafstandptekstGaramond"/>
            </w:pPr>
            <w:r>
              <w:t>Der henvises til kommentarer til henvendelsen fra Dansk Eje</w:t>
            </w:r>
            <w:r>
              <w:t>n</w:t>
            </w:r>
            <w:r>
              <w:t>domsmæglerforening.</w:t>
            </w:r>
          </w:p>
        </w:tc>
      </w:tr>
      <w:tr w:rsidR="0045370B" w:rsidRPr="00B5346F" w:rsidTr="0045370B">
        <w:tc>
          <w:tcPr>
            <w:tcW w:w="2813" w:type="dxa"/>
            <w:tcBorders>
              <w:bottom w:val="single" w:sz="4" w:space="0" w:color="D1C5C3" w:themeColor="accent3"/>
            </w:tcBorders>
            <w:shd w:val="clear" w:color="auto" w:fill="FBF9F9"/>
          </w:tcPr>
          <w:p w:rsidR="0045370B" w:rsidRPr="00600E3E" w:rsidRDefault="0045370B" w:rsidP="00430825">
            <w:pPr>
              <w:pStyle w:val="Tabel-BrdtekstmedafstandptekstGaramond"/>
              <w:rPr>
                <w:i/>
              </w:rPr>
            </w:pPr>
            <w:r>
              <w:rPr>
                <w:i/>
              </w:rPr>
              <w:lastRenderedPageBreak/>
              <w:t>KL</w:t>
            </w:r>
          </w:p>
        </w:tc>
        <w:tc>
          <w:tcPr>
            <w:tcW w:w="189" w:type="dxa"/>
            <w:shd w:val="clear" w:color="auto" w:fill="FFFFFF" w:themeFill="background1"/>
          </w:tcPr>
          <w:p w:rsidR="0045370B" w:rsidRPr="00B5346F" w:rsidRDefault="0045370B" w:rsidP="00430825"/>
        </w:tc>
        <w:tc>
          <w:tcPr>
            <w:tcW w:w="3221" w:type="dxa"/>
            <w:tcBorders>
              <w:bottom w:val="single" w:sz="4" w:space="0" w:color="D1C5C3" w:themeColor="accent3"/>
            </w:tcBorders>
            <w:shd w:val="clear" w:color="auto" w:fill="FBF9F9"/>
          </w:tcPr>
          <w:p w:rsidR="0045370B" w:rsidRDefault="00FC5CC6" w:rsidP="00FC5CC6">
            <w:pPr>
              <w:pStyle w:val="Tabel-BrdtekstmedafstandptekstGaramond"/>
            </w:pPr>
            <w:r>
              <w:t>KL bakker op om bestræbelse</w:t>
            </w:r>
            <w:r>
              <w:t>r</w:t>
            </w:r>
            <w:r>
              <w:t>ne på at få etableret et nyt vu</w:t>
            </w:r>
            <w:r>
              <w:t>r</w:t>
            </w:r>
            <w:r>
              <w:t>deringssystem, da den nuvære</w:t>
            </w:r>
            <w:r>
              <w:t>n</w:t>
            </w:r>
            <w:r>
              <w:t>de situation giver anledning til usikkerhed i kommunerne. KL forudsætter i denne forbindelse, at staten kompenserer komm</w:t>
            </w:r>
            <w:r>
              <w:t>u</w:t>
            </w:r>
            <w:r>
              <w:t>nerne for de merudgifter, der vil være forbundet med den fre</w:t>
            </w:r>
            <w:r>
              <w:t>m</w:t>
            </w:r>
            <w:r>
              <w:t>tidige udbetalingsordning. Vid</w:t>
            </w:r>
            <w:r>
              <w:t>e</w:t>
            </w:r>
            <w:r>
              <w:t>reførelsen af 2011-vurderingerne med yderligere to år gør den periode, hvor udb</w:t>
            </w:r>
            <w:r>
              <w:t>e</w:t>
            </w:r>
            <w:r>
              <w:t>taling kan finde sted, tilsvarende længere.</w:t>
            </w:r>
          </w:p>
          <w:p w:rsidR="00FC5CC6" w:rsidRDefault="00FC5CC6" w:rsidP="00FC5CC6">
            <w:pPr>
              <w:pStyle w:val="Tabel-BrdtekstmedafstandptekstGaramond"/>
            </w:pPr>
          </w:p>
          <w:p w:rsidR="00FC5CC6" w:rsidRPr="00B5346F" w:rsidRDefault="00FC5CC6" w:rsidP="00FC5CC6">
            <w:pPr>
              <w:pStyle w:val="Tabel-BrdtekstmedafstandptekstGaramond"/>
            </w:pPr>
            <w:r>
              <w:t>KL bemærker videre, at det e</w:t>
            </w:r>
            <w:r>
              <w:t>f</w:t>
            </w:r>
            <w:r>
              <w:t xml:space="preserve">ter forslaget ikke vil være muligt </w:t>
            </w:r>
            <w:r>
              <w:lastRenderedPageBreak/>
              <w:t>for SKAT af egen drift at ændre en 2011- eller 2012-vurdering, hvis ændringen er til ugunst for borgeren.  Dette gælder ifølge KL også helt utvetydige fejl, hvor SKAT eksempelvis man</w:t>
            </w:r>
            <w:r>
              <w:t>g</w:t>
            </w:r>
            <w:r>
              <w:t>ler at ansætte en grundskatt</w:t>
            </w:r>
            <w:r>
              <w:t>e</w:t>
            </w:r>
            <w:r>
              <w:t>loftværdi, eller hvor der er a</w:t>
            </w:r>
            <w:r>
              <w:t>n</w:t>
            </w:r>
            <w:r>
              <w:t>vendt en forkert bebyggelse</w:t>
            </w:r>
            <w:r>
              <w:t>s</w:t>
            </w:r>
            <w:r>
              <w:t>procent. KL opfordrer til, at SK</w:t>
            </w:r>
            <w:r w:rsidR="00C5457D">
              <w:t>ATs mulighed for at tage en 201</w:t>
            </w:r>
            <w:r>
              <w:t>1- eller 2012-vurdering op af egen drift udvides, så det også kan ske til ugunst for borgeren.</w:t>
            </w:r>
          </w:p>
        </w:tc>
        <w:tc>
          <w:tcPr>
            <w:tcW w:w="204" w:type="dxa"/>
            <w:shd w:val="clear" w:color="auto" w:fill="FFFFFF" w:themeFill="background1"/>
          </w:tcPr>
          <w:p w:rsidR="0045370B" w:rsidRPr="00B5346F" w:rsidRDefault="0045370B" w:rsidP="00430825"/>
        </w:tc>
        <w:tc>
          <w:tcPr>
            <w:tcW w:w="3212" w:type="dxa"/>
            <w:tcBorders>
              <w:bottom w:val="single" w:sz="4" w:space="0" w:color="14143C" w:themeColor="accent1"/>
            </w:tcBorders>
            <w:shd w:val="clear" w:color="auto" w:fill="D2CED8"/>
          </w:tcPr>
          <w:p w:rsidR="0045370B" w:rsidRDefault="005D1811" w:rsidP="005D1811">
            <w:pPr>
              <w:pStyle w:val="Tabel-BrdtekstmedafstandptekstGaramond"/>
            </w:pPr>
            <w:r>
              <w:t>Udbetalingsordningen indgår ikke i det foreliggende lo</w:t>
            </w:r>
            <w:r>
              <w:t>v</w:t>
            </w:r>
            <w:r>
              <w:t>forslag, men vil skulle ind</w:t>
            </w:r>
            <w:r w:rsidR="00954B8F">
              <w:t>g</w:t>
            </w:r>
            <w:r>
              <w:t>å som et element ved etableringen af det fremtidige vurderingss</w:t>
            </w:r>
            <w:r>
              <w:t>y</w:t>
            </w:r>
            <w:r>
              <w:t>stem. Der vil til den tid bl.a. skulle tages stilling til de øk</w:t>
            </w:r>
            <w:r>
              <w:t>o</w:t>
            </w:r>
            <w:r>
              <w:t>nomiske konsekvenser for kommunerne.</w:t>
            </w:r>
          </w:p>
          <w:p w:rsidR="005D1811" w:rsidRDefault="005D1811" w:rsidP="005D1811">
            <w:pPr>
              <w:pStyle w:val="Tabel-BrdtekstmedafstandptekstGaramond"/>
            </w:pPr>
          </w:p>
          <w:p w:rsidR="005D1811" w:rsidRDefault="005D1811" w:rsidP="005D1811">
            <w:pPr>
              <w:pStyle w:val="Tabel-BrdtekstmedafstandptekstGaramond"/>
            </w:pPr>
          </w:p>
          <w:p w:rsidR="005D1811" w:rsidRDefault="005D1811" w:rsidP="005D1811">
            <w:pPr>
              <w:pStyle w:val="Tabel-BrdtekstmedafstandptekstGaramond"/>
            </w:pPr>
          </w:p>
          <w:p w:rsidR="005D1811" w:rsidRDefault="005D1811" w:rsidP="005D1811">
            <w:pPr>
              <w:pStyle w:val="Tabel-BrdtekstmedafstandptekstGaramond"/>
            </w:pPr>
          </w:p>
          <w:p w:rsidR="005D1811" w:rsidRDefault="005D1811" w:rsidP="005D1811">
            <w:pPr>
              <w:pStyle w:val="Tabel-BrdtekstmedafstandptekstGaramond"/>
            </w:pPr>
          </w:p>
          <w:p w:rsidR="005D1811" w:rsidRDefault="005D1811" w:rsidP="005D1811">
            <w:pPr>
              <w:pStyle w:val="Tabel-BrdtekstmedafstandptekstGaramond"/>
            </w:pPr>
          </w:p>
          <w:p w:rsidR="005D1811" w:rsidRDefault="005D1811" w:rsidP="005D1811">
            <w:pPr>
              <w:pStyle w:val="Tabel-BrdtekstmedafstandptekstGaramond"/>
            </w:pPr>
          </w:p>
          <w:p w:rsidR="005D1811" w:rsidRDefault="00CC3B04" w:rsidP="005D1811">
            <w:pPr>
              <w:pStyle w:val="Tabel-BrdtekstmedafstandptekstGaramond"/>
            </w:pPr>
            <w:r>
              <w:t>Som det fremgår af lovforsl</w:t>
            </w:r>
            <w:r>
              <w:t>a</w:t>
            </w:r>
            <w:r>
              <w:t>gets bemærkninger, er de a</w:t>
            </w:r>
            <w:r>
              <w:t>l</w:t>
            </w:r>
            <w:r>
              <w:lastRenderedPageBreak/>
              <w:t>mindelige frister for SKATs a</w:t>
            </w:r>
            <w:r>
              <w:t>n</w:t>
            </w:r>
            <w:r>
              <w:t>vendelse af revisionsbestemme</w:t>
            </w:r>
            <w:r>
              <w:t>l</w:t>
            </w:r>
            <w:r>
              <w:t>sen i skatteforvaltningslovens § 33</w:t>
            </w:r>
            <w:r w:rsidR="00954B8F">
              <w:t xml:space="preserve"> </w:t>
            </w:r>
            <w:r>
              <w:t>a for længst udløbet</w:t>
            </w:r>
            <w:r w:rsidR="00954B8F">
              <w:t>,</w:t>
            </w:r>
            <w:r>
              <w:t xml:space="preserve"> for så vidt angår 2011- og 2012-vurderingerne. Derfor foreslås det, at ændring kun kan ske til gunst for borgeren i form af en nedsættelse af vurderingen.</w:t>
            </w:r>
          </w:p>
          <w:p w:rsidR="00CC3B04" w:rsidRDefault="00CC3B04" w:rsidP="005D1811">
            <w:pPr>
              <w:pStyle w:val="Tabel-BrdtekstmedafstandptekstGaramond"/>
            </w:pPr>
          </w:p>
          <w:p w:rsidR="00CC3B04" w:rsidRDefault="00CC3B04" w:rsidP="00CC3B04">
            <w:pPr>
              <w:pStyle w:val="Tabel-BrdtekstmedafstandptekstGaramond"/>
            </w:pPr>
            <w:r>
              <w:t>Som det videre fremgår af b</w:t>
            </w:r>
            <w:r>
              <w:t>e</w:t>
            </w:r>
            <w:r>
              <w:t>mærkningerne, foreslås der ikke ændringer i reglerne for geno</w:t>
            </w:r>
            <w:r>
              <w:t>p</w:t>
            </w:r>
            <w:r>
              <w:t>tagelse af vurderinger, som er foretaget på et faktuelt fejlagtigt grundlag, eksempelvis fordi grundareal, bygningsareal eller planforhold ikke er registreret korrekt</w:t>
            </w:r>
            <w:r w:rsidR="00457A3C">
              <w:t>, jf. skatteforvaltningsl</w:t>
            </w:r>
            <w:r w:rsidR="00457A3C">
              <w:t>o</w:t>
            </w:r>
            <w:r w:rsidR="00457A3C">
              <w:t>vens § 33</w:t>
            </w:r>
            <w:r>
              <w:t xml:space="preserve">. </w:t>
            </w:r>
            <w:r w:rsidR="0032632C">
              <w:t>Sådanne vurderinger kan således genoptages. Det kan tilføjes, at SKAT altid kan for</w:t>
            </w:r>
            <w:r w:rsidR="0032632C">
              <w:t>e</w:t>
            </w:r>
            <w:r w:rsidR="0032632C">
              <w:t>tage en vurdering, hvis en sådan ved en fejl ikke er foretaget.</w:t>
            </w:r>
          </w:p>
          <w:p w:rsidR="0032632C" w:rsidRDefault="0032632C" w:rsidP="00CC3B04">
            <w:pPr>
              <w:pStyle w:val="Tabel-BrdtekstmedafstandptekstGaramond"/>
            </w:pPr>
          </w:p>
          <w:p w:rsidR="0032632C" w:rsidRDefault="0032632C" w:rsidP="0032632C">
            <w:pPr>
              <w:pStyle w:val="Tabel-BrdtekstmedafstandptekstGaramond"/>
            </w:pPr>
            <w:r>
              <w:t>Endelig fremgår det af b</w:t>
            </w:r>
            <w:r>
              <w:t>e</w:t>
            </w:r>
            <w:r>
              <w:t>mærkningerne, at det fortsat vil være muligt for SKAT efter a</w:t>
            </w:r>
            <w:r>
              <w:t>l</w:t>
            </w:r>
            <w:r>
              <w:t>mindelige forvaltningsretlige principper at korrigere simple tastefejl og lignende åbenbare sagsbehandlingsfejl, uanset at grundlaget for vurderingen i ø</w:t>
            </w:r>
            <w:r>
              <w:t>v</w:t>
            </w:r>
            <w:r>
              <w:t>rigt er korrekt.</w:t>
            </w:r>
          </w:p>
          <w:p w:rsidR="0032632C" w:rsidRDefault="0032632C" w:rsidP="0032632C">
            <w:pPr>
              <w:pStyle w:val="Tabel-BrdtekstmedafstandptekstGaramond"/>
            </w:pPr>
          </w:p>
          <w:p w:rsidR="0032632C" w:rsidRPr="00B5346F" w:rsidRDefault="0032632C" w:rsidP="0032632C">
            <w:pPr>
              <w:pStyle w:val="Tabel-BrdtekstmedafstandptekstGaramond"/>
            </w:pPr>
            <w:r>
              <w:t>Det må afgøres konkret, i hvi</w:t>
            </w:r>
            <w:r>
              <w:t>l</w:t>
            </w:r>
            <w:r>
              <w:t>ket omfang fejl af den karakter, som KL nævner, vil kunne re</w:t>
            </w:r>
            <w:r>
              <w:t>t</w:t>
            </w:r>
            <w:r>
              <w:t>tes efter de her nævnte b</w:t>
            </w:r>
            <w:r>
              <w:t>e</w:t>
            </w:r>
            <w:r>
              <w:t>stemmelser og principper.</w:t>
            </w:r>
          </w:p>
        </w:tc>
      </w:tr>
      <w:tr w:rsidR="0045370B" w:rsidRPr="00B5346F" w:rsidTr="0045370B">
        <w:tc>
          <w:tcPr>
            <w:tcW w:w="2813" w:type="dxa"/>
            <w:tcBorders>
              <w:bottom w:val="single" w:sz="4" w:space="0" w:color="D1C5C3" w:themeColor="accent3"/>
            </w:tcBorders>
            <w:shd w:val="clear" w:color="auto" w:fill="FBF9F9"/>
          </w:tcPr>
          <w:p w:rsidR="0045370B" w:rsidRPr="00600E3E" w:rsidRDefault="0045370B" w:rsidP="00430825">
            <w:pPr>
              <w:pStyle w:val="Tabel-BrdtekstmedafstandptekstGaramond"/>
              <w:rPr>
                <w:i/>
              </w:rPr>
            </w:pPr>
            <w:r>
              <w:rPr>
                <w:i/>
              </w:rPr>
              <w:lastRenderedPageBreak/>
              <w:t>Landbrug &amp; Fødevarer</w:t>
            </w:r>
          </w:p>
        </w:tc>
        <w:tc>
          <w:tcPr>
            <w:tcW w:w="189" w:type="dxa"/>
            <w:shd w:val="clear" w:color="auto" w:fill="FFFFFF" w:themeFill="background1"/>
          </w:tcPr>
          <w:p w:rsidR="0045370B" w:rsidRPr="00B5346F" w:rsidRDefault="0045370B" w:rsidP="00430825"/>
        </w:tc>
        <w:tc>
          <w:tcPr>
            <w:tcW w:w="3221" w:type="dxa"/>
            <w:tcBorders>
              <w:bottom w:val="single" w:sz="4" w:space="0" w:color="D1C5C3" w:themeColor="accent3"/>
            </w:tcBorders>
            <w:shd w:val="clear" w:color="auto" w:fill="FBF9F9"/>
          </w:tcPr>
          <w:p w:rsidR="0045370B" w:rsidRDefault="003922A7" w:rsidP="003922A7">
            <w:pPr>
              <w:pStyle w:val="Tabel-BrdtekstmedafstandptekstGaramond"/>
            </w:pPr>
            <w:r>
              <w:t>Landbrug &amp; Fødevarer (herefter L&amp;F) konstaterer, at det i lo</w:t>
            </w:r>
            <w:r>
              <w:t>v</w:t>
            </w:r>
            <w:r>
              <w:lastRenderedPageBreak/>
              <w:t>forslagets bemærkninger er a</w:t>
            </w:r>
            <w:r>
              <w:t>n</w:t>
            </w:r>
            <w:r>
              <w:t>ført, at der ikke er taget stilling til det eksterne ekspertudvalgs anbefalinger i forhold til lan</w:t>
            </w:r>
            <w:r>
              <w:t>d</w:t>
            </w:r>
            <w:r>
              <w:t>brugsejendomme. L&amp;F anfører, at ekspertudvalgets anbefalinger vil have massive konsekvenser, og at den eksisterende bond</w:t>
            </w:r>
            <w:r>
              <w:t>e</w:t>
            </w:r>
            <w:r>
              <w:t>gårdsregel også bør videreføres i en fremtidig vurderingsordning. L&amp;F konstaterer videre, at en eventuel afskaffelse af bond</w:t>
            </w:r>
            <w:r>
              <w:t>e</w:t>
            </w:r>
            <w:r>
              <w:t>gårdsreglen tidligst vil kunne komme på tale ved vurderingen i 2018.</w:t>
            </w:r>
          </w:p>
          <w:p w:rsidR="003922A7" w:rsidRDefault="003922A7" w:rsidP="003922A7">
            <w:pPr>
              <w:pStyle w:val="Tabel-BrdtekstmedafstandptekstGaramond"/>
            </w:pPr>
          </w:p>
          <w:p w:rsidR="003922A7" w:rsidRDefault="003922A7" w:rsidP="003922A7">
            <w:pPr>
              <w:pStyle w:val="Tabel-BrdtekstmedafstandptekstGaramond"/>
            </w:pPr>
            <w:r>
              <w:t>L&amp;F har ikke bemærkninger til videreførelsen af 2011-vurderingen af ejerboliger, men anfører samtidig, at rabator</w:t>
            </w:r>
            <w:r>
              <w:t>d</w:t>
            </w:r>
            <w:r>
              <w:t>ningerne til ejerboliger også bør omfatte landbrugets stuehuse.</w:t>
            </w:r>
          </w:p>
          <w:p w:rsidR="003922A7" w:rsidRDefault="003922A7" w:rsidP="003922A7">
            <w:pPr>
              <w:pStyle w:val="Tabel-BrdtekstmedafstandptekstGaramond"/>
            </w:pPr>
          </w:p>
          <w:p w:rsidR="0050083A" w:rsidRDefault="0050083A" w:rsidP="003922A7">
            <w:pPr>
              <w:pStyle w:val="Tabel-BrdtekstmedafstandptekstGaramond"/>
            </w:pPr>
          </w:p>
          <w:p w:rsidR="0050083A" w:rsidRDefault="0050083A" w:rsidP="003922A7">
            <w:pPr>
              <w:pStyle w:val="Tabel-BrdtekstmedafstandptekstGaramond"/>
            </w:pPr>
          </w:p>
          <w:p w:rsidR="0050083A" w:rsidRDefault="0050083A" w:rsidP="003922A7">
            <w:pPr>
              <w:pStyle w:val="Tabel-BrdtekstmedafstandptekstGaramond"/>
            </w:pPr>
          </w:p>
          <w:p w:rsidR="0050083A" w:rsidRDefault="0050083A" w:rsidP="003922A7">
            <w:pPr>
              <w:pStyle w:val="Tabel-BrdtekstmedafstandptekstGaramond"/>
            </w:pPr>
          </w:p>
          <w:p w:rsidR="0050083A" w:rsidRDefault="0050083A" w:rsidP="003922A7">
            <w:pPr>
              <w:pStyle w:val="Tabel-BrdtekstmedafstandptekstGaramond"/>
            </w:pPr>
          </w:p>
          <w:p w:rsidR="0050083A" w:rsidRDefault="0050083A" w:rsidP="003922A7">
            <w:pPr>
              <w:pStyle w:val="Tabel-BrdtekstmedafstandptekstGaramond"/>
            </w:pPr>
          </w:p>
          <w:p w:rsidR="0050083A" w:rsidRDefault="0050083A" w:rsidP="003922A7">
            <w:pPr>
              <w:pStyle w:val="Tabel-BrdtekstmedafstandptekstGaramond"/>
            </w:pPr>
          </w:p>
          <w:p w:rsidR="003922A7" w:rsidRDefault="003922A7" w:rsidP="00AB262A">
            <w:pPr>
              <w:pStyle w:val="Tabel-BrdtekstmedafstandptekstGaramond"/>
            </w:pPr>
            <w:r>
              <w:t>L&amp;F finder det problematisk for landbruget, at muligheden for at få foretaget vurderinger uden for de almindelige vurd</w:t>
            </w:r>
            <w:r>
              <w:t>e</w:t>
            </w:r>
            <w:r>
              <w:t>ringsterminer efter vurdering</w:t>
            </w:r>
            <w:r>
              <w:t>s</w:t>
            </w:r>
            <w:r>
              <w:t>lovens § 4</w:t>
            </w:r>
            <w:r w:rsidR="00AB262A">
              <w:t xml:space="preserve"> fortsat suspenderes. L&amp;F finder, at der i den nuv</w:t>
            </w:r>
            <w:r w:rsidR="00AB262A">
              <w:t>æ</w:t>
            </w:r>
            <w:r w:rsidR="00AB262A">
              <w:t>rende situation, hvor der kan forventes at komme tvangssalg af landbrugsejendomme, vil v</w:t>
            </w:r>
            <w:r w:rsidR="00AB262A">
              <w:t>æ</w:t>
            </w:r>
            <w:r w:rsidR="00AB262A">
              <w:t xml:space="preserve">re stort behov for § 4-vurderinger i forbindelse med opgørelse af ejendomsavance og genvundne afskrivninger. Det er </w:t>
            </w:r>
            <w:r w:rsidR="00AB262A">
              <w:lastRenderedPageBreak/>
              <w:t>også ud fra et retssikkerhed</w:t>
            </w:r>
            <w:r w:rsidR="00AB262A">
              <w:t>s</w:t>
            </w:r>
            <w:r w:rsidR="00AB262A">
              <w:t>mæssigt synspunkt betænkeligt, at der ikke kan foretages en § 4-vurdering, hvis eksempelvis d</w:t>
            </w:r>
            <w:r w:rsidR="00AB262A">
              <w:t>y</w:t>
            </w:r>
            <w:r w:rsidR="00AB262A">
              <w:t>rene er afhændet, og en stal</w:t>
            </w:r>
            <w:r w:rsidR="00AB262A">
              <w:t>d</w:t>
            </w:r>
            <w:r w:rsidR="00AB262A">
              <w:t>bygning ikke anvendes eller kan anvendes. Endvidere er § 4-vurderinger af meget stor b</w:t>
            </w:r>
            <w:r w:rsidR="00AB262A">
              <w:t>e</w:t>
            </w:r>
            <w:r w:rsidR="00AB262A">
              <w:t>tydning ved familiehandler med landbrugsejendomme.</w:t>
            </w:r>
          </w:p>
          <w:p w:rsidR="00B502FA" w:rsidRDefault="00B502FA" w:rsidP="00AB262A">
            <w:pPr>
              <w:pStyle w:val="Tabel-BrdtekstmedafstandptekstGaramond"/>
            </w:pPr>
          </w:p>
          <w:p w:rsidR="00B502FA" w:rsidRDefault="00B502FA" w:rsidP="00B502FA">
            <w:pPr>
              <w:pStyle w:val="Tabel-BrdtekstmedafstandptekstGaramond"/>
            </w:pPr>
            <w:r>
              <w:t>L&amp;F ønsker på denne ba</w:t>
            </w:r>
            <w:r>
              <w:t>g</w:t>
            </w:r>
            <w:r>
              <w:t>grund, at adgangen til at få for</w:t>
            </w:r>
            <w:r>
              <w:t>e</w:t>
            </w:r>
            <w:r>
              <w:t>taget § 4-vurderinger skal ge</w:t>
            </w:r>
            <w:r>
              <w:t>n</w:t>
            </w:r>
            <w:r>
              <w:t>indføres - i hvert fald for e</w:t>
            </w:r>
            <w:r>
              <w:t>r</w:t>
            </w:r>
            <w:r>
              <w:t>hvervsejendomme, hvor grun</w:t>
            </w:r>
            <w:r>
              <w:t>d</w:t>
            </w:r>
            <w:r>
              <w:t>laget for værdiansættelsen er mere usikkert end for ejerbol</w:t>
            </w:r>
            <w:r>
              <w:t>i</w:t>
            </w:r>
            <w:r>
              <w:t>ger.</w:t>
            </w:r>
          </w:p>
          <w:p w:rsidR="00E146A3" w:rsidRDefault="00E146A3" w:rsidP="00B502FA">
            <w:pPr>
              <w:pStyle w:val="Tabel-BrdtekstmedafstandptekstGaramond"/>
            </w:pPr>
          </w:p>
          <w:p w:rsidR="00E146A3" w:rsidRPr="00B5346F" w:rsidRDefault="007126D8" w:rsidP="00B502FA">
            <w:pPr>
              <w:pStyle w:val="Tabel-BrdtekstmedafstandptekstGaramond"/>
            </w:pPr>
            <w:r>
              <w:t>Endelig foreslår L&amp;F, at det g</w:t>
            </w:r>
            <w:r>
              <w:t>ø</w:t>
            </w:r>
            <w:r>
              <w:t>res muligt at klage over de vid</w:t>
            </w:r>
            <w:r>
              <w:t>e</w:t>
            </w:r>
            <w:r>
              <w:t>reførte vurderinger.</w:t>
            </w:r>
          </w:p>
        </w:tc>
        <w:tc>
          <w:tcPr>
            <w:tcW w:w="204" w:type="dxa"/>
            <w:shd w:val="clear" w:color="auto" w:fill="FFFFFF" w:themeFill="background1"/>
          </w:tcPr>
          <w:p w:rsidR="0045370B" w:rsidRPr="00B5346F" w:rsidRDefault="0045370B" w:rsidP="00430825"/>
        </w:tc>
        <w:tc>
          <w:tcPr>
            <w:tcW w:w="3212" w:type="dxa"/>
            <w:tcBorders>
              <w:bottom w:val="single" w:sz="4" w:space="0" w:color="14143C" w:themeColor="accent1"/>
            </w:tcBorders>
            <w:shd w:val="clear" w:color="auto" w:fill="D2CED8"/>
          </w:tcPr>
          <w:p w:rsidR="0045370B" w:rsidRDefault="00C53FB7" w:rsidP="00C53FB7">
            <w:pPr>
              <w:pStyle w:val="Tabel-BrdtekstmedafstandptekstGaramond"/>
            </w:pPr>
            <w:r>
              <w:t xml:space="preserve">Det er korrekt, at en afskaffelse af bondegårdsreglen i givet fald </w:t>
            </w:r>
            <w:r>
              <w:lastRenderedPageBreak/>
              <w:t>tidligst vil kunne ske ved vurd</w:t>
            </w:r>
            <w:r>
              <w:t>e</w:t>
            </w:r>
            <w:r>
              <w:t>ringen i 2018, forudsat at det foreliggende lovforslag vedt</w:t>
            </w:r>
            <w:r>
              <w:t>a</w:t>
            </w:r>
            <w:r>
              <w:t xml:space="preserve">ges, og at andet ikke </w:t>
            </w:r>
            <w:r w:rsidR="00540322">
              <w:t>vedtages</w:t>
            </w:r>
            <w:r>
              <w:t xml:space="preserve"> inden da. </w:t>
            </w:r>
            <w:r w:rsidR="006B19D0">
              <w:t>Spørgsmålet om b</w:t>
            </w:r>
            <w:r w:rsidR="006B19D0">
              <w:t>e</w:t>
            </w:r>
            <w:r w:rsidR="006B19D0">
              <w:t>skatning af landbrugsejendo</w:t>
            </w:r>
            <w:r w:rsidR="006B19D0">
              <w:t>m</w:t>
            </w:r>
            <w:r w:rsidR="006B19D0">
              <w:t xml:space="preserve">me vil sammen med de øvrige anbefalinger fra Engberg-udvalget indgå i det arbejde, der foregår i </w:t>
            </w:r>
            <w:proofErr w:type="spellStart"/>
            <w:r w:rsidR="006B19D0">
              <w:t>Implementerings</w:t>
            </w:r>
            <w:r w:rsidR="008E0FA9">
              <w:t>C</w:t>
            </w:r>
            <w:r w:rsidR="006B19D0">
              <w:t>e</w:t>
            </w:r>
            <w:r w:rsidR="006B19D0">
              <w:t>n</w:t>
            </w:r>
            <w:r w:rsidR="006B19D0">
              <w:t>ter</w:t>
            </w:r>
            <w:proofErr w:type="spellEnd"/>
            <w:r w:rsidR="006B19D0">
              <w:t xml:space="preserve"> </w:t>
            </w:r>
            <w:r w:rsidR="008E0FA9">
              <w:t xml:space="preserve">for </w:t>
            </w:r>
            <w:r w:rsidR="006B19D0">
              <w:t>Ejendomsvurdering. Som det fremgår af bemærkni</w:t>
            </w:r>
            <w:r w:rsidR="006B19D0">
              <w:t>n</w:t>
            </w:r>
            <w:r w:rsidR="006B19D0">
              <w:t>gerne til lovforslaget, er der ikke på forhånd taget stilling til disse forslag.</w:t>
            </w:r>
          </w:p>
          <w:p w:rsidR="0050083A" w:rsidRDefault="0050083A" w:rsidP="00C53FB7">
            <w:pPr>
              <w:pStyle w:val="Tabel-BrdtekstmedafstandptekstGaramond"/>
            </w:pPr>
          </w:p>
          <w:p w:rsidR="0050083A" w:rsidRDefault="0050083A" w:rsidP="0050083A">
            <w:pPr>
              <w:pStyle w:val="Tabel-BrdtekstmedafstandptekstGaramond"/>
            </w:pPr>
            <w:r>
              <w:t>Grundværdien for grundarealer tilhørende landbrugets stuehuse ansættes efter den såkaldte bondegårdsregel på samme m</w:t>
            </w:r>
            <w:r>
              <w:t>å</w:t>
            </w:r>
            <w:r>
              <w:t>de som landbrugsjorden. Heri ligger allerede en meget betyd</w:t>
            </w:r>
            <w:r>
              <w:t>e</w:t>
            </w:r>
            <w:r>
              <w:t>lig rabat i forhold til en vurd</w:t>
            </w:r>
            <w:r>
              <w:t>e</w:t>
            </w:r>
            <w:r>
              <w:t>ring efter den almindelige vu</w:t>
            </w:r>
            <w:r>
              <w:t>r</w:t>
            </w:r>
            <w:r>
              <w:t>deringsnorm, som er værdien i handel og vandel. Regeringen finder ikke grundlag for at u</w:t>
            </w:r>
            <w:r>
              <w:t>d</w:t>
            </w:r>
            <w:r>
              <w:t>vide rabatordningen til også at omfatte landbrugets stuehuse.</w:t>
            </w:r>
          </w:p>
          <w:p w:rsidR="0083208B" w:rsidRDefault="0083208B" w:rsidP="0050083A">
            <w:pPr>
              <w:pStyle w:val="Tabel-BrdtekstmedafstandptekstGaramond"/>
            </w:pPr>
          </w:p>
          <w:p w:rsidR="0083208B" w:rsidRDefault="0083208B" w:rsidP="0050083A">
            <w:pPr>
              <w:pStyle w:val="Tabel-BrdtekstmedafstandptekstGaramond"/>
            </w:pPr>
            <w:r>
              <w:t>Der henvises til kommentarer til henvendelsen fra FSR danske revisorer.</w:t>
            </w: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Default="00854545" w:rsidP="0050083A">
            <w:pPr>
              <w:pStyle w:val="Tabel-BrdtekstmedafstandptekstGaramond"/>
            </w:pPr>
          </w:p>
          <w:p w:rsidR="00854545" w:rsidRPr="00B5346F" w:rsidRDefault="00525EEE" w:rsidP="0050083A">
            <w:pPr>
              <w:pStyle w:val="Tabel-BrdtekstmedafstandptekstGaramond"/>
            </w:pPr>
            <w:r>
              <w:t>Der henvises til kommentar til henvendelsen fra FSR.</w:t>
            </w:r>
          </w:p>
        </w:tc>
      </w:tr>
      <w:tr w:rsidR="0045370B" w:rsidRPr="00B5346F" w:rsidTr="0045370B">
        <w:tc>
          <w:tcPr>
            <w:tcW w:w="2813" w:type="dxa"/>
            <w:tcBorders>
              <w:bottom w:val="single" w:sz="4" w:space="0" w:color="D1C5C3" w:themeColor="accent3"/>
            </w:tcBorders>
            <w:shd w:val="clear" w:color="auto" w:fill="FBF9F9"/>
          </w:tcPr>
          <w:p w:rsidR="0045370B" w:rsidRPr="00600E3E" w:rsidRDefault="0045370B" w:rsidP="00430825">
            <w:pPr>
              <w:pStyle w:val="Tabel-BrdtekstmedafstandptekstGaramond"/>
              <w:rPr>
                <w:i/>
              </w:rPr>
            </w:pPr>
            <w:r>
              <w:rPr>
                <w:i/>
              </w:rPr>
              <w:lastRenderedPageBreak/>
              <w:t>Landsskatteretten</w:t>
            </w:r>
          </w:p>
        </w:tc>
        <w:tc>
          <w:tcPr>
            <w:tcW w:w="189" w:type="dxa"/>
            <w:shd w:val="clear" w:color="auto" w:fill="FFFFFF" w:themeFill="background1"/>
          </w:tcPr>
          <w:p w:rsidR="0045370B" w:rsidRPr="00B5346F" w:rsidRDefault="0045370B" w:rsidP="00430825"/>
        </w:tc>
        <w:tc>
          <w:tcPr>
            <w:tcW w:w="3221" w:type="dxa"/>
            <w:tcBorders>
              <w:bottom w:val="single" w:sz="4" w:space="0" w:color="D1C5C3" w:themeColor="accent3"/>
            </w:tcBorders>
            <w:shd w:val="clear" w:color="auto" w:fill="FBF9F9"/>
          </w:tcPr>
          <w:p w:rsidR="0045370B" w:rsidRPr="00B5346F" w:rsidRDefault="00360D3F" w:rsidP="00430825">
            <w:pPr>
              <w:pStyle w:val="Tabel-BrdtekstmedafstandptekstGaramond"/>
            </w:pPr>
            <w:r>
              <w:t>Ingen bemærkninger.</w:t>
            </w:r>
          </w:p>
        </w:tc>
        <w:tc>
          <w:tcPr>
            <w:tcW w:w="204" w:type="dxa"/>
            <w:shd w:val="clear" w:color="auto" w:fill="FFFFFF" w:themeFill="background1"/>
          </w:tcPr>
          <w:p w:rsidR="0045370B" w:rsidRPr="00B5346F" w:rsidRDefault="0045370B" w:rsidP="00430825"/>
        </w:tc>
        <w:tc>
          <w:tcPr>
            <w:tcW w:w="3212" w:type="dxa"/>
            <w:tcBorders>
              <w:bottom w:val="single" w:sz="4" w:space="0" w:color="14143C" w:themeColor="accent1"/>
            </w:tcBorders>
            <w:shd w:val="clear" w:color="auto" w:fill="D2CED8"/>
          </w:tcPr>
          <w:p w:rsidR="0045370B" w:rsidRPr="00B5346F" w:rsidRDefault="0045370B" w:rsidP="00430825">
            <w:pPr>
              <w:pStyle w:val="Tabel-BrdtekstmedafstandptekstGaramond"/>
            </w:pPr>
          </w:p>
        </w:tc>
      </w:tr>
      <w:tr w:rsidR="00487F65" w:rsidRPr="00B5346F" w:rsidTr="0045370B">
        <w:tc>
          <w:tcPr>
            <w:tcW w:w="2813" w:type="dxa"/>
            <w:tcBorders>
              <w:bottom w:val="single" w:sz="4" w:space="0" w:color="D1C5C3" w:themeColor="accent3"/>
            </w:tcBorders>
            <w:shd w:val="clear" w:color="auto" w:fill="FBF9F9"/>
          </w:tcPr>
          <w:p w:rsidR="00487F65" w:rsidRDefault="00487F65" w:rsidP="00430825">
            <w:pPr>
              <w:pStyle w:val="Tabel-BrdtekstmedafstandptekstGaramond"/>
              <w:rPr>
                <w:i/>
              </w:rPr>
            </w:pPr>
            <w:r>
              <w:rPr>
                <w:i/>
              </w:rPr>
              <w:t>Lejernes Landsorganisation</w:t>
            </w:r>
          </w:p>
        </w:tc>
        <w:tc>
          <w:tcPr>
            <w:tcW w:w="189" w:type="dxa"/>
            <w:shd w:val="clear" w:color="auto" w:fill="FFFFFF" w:themeFill="background1"/>
          </w:tcPr>
          <w:p w:rsidR="00487F65" w:rsidRPr="00B5346F" w:rsidRDefault="00487F65" w:rsidP="00430825"/>
        </w:tc>
        <w:tc>
          <w:tcPr>
            <w:tcW w:w="3221" w:type="dxa"/>
            <w:tcBorders>
              <w:bottom w:val="single" w:sz="4" w:space="0" w:color="D1C5C3" w:themeColor="accent3"/>
            </w:tcBorders>
            <w:shd w:val="clear" w:color="auto" w:fill="FBF9F9"/>
          </w:tcPr>
          <w:p w:rsidR="00487F65" w:rsidRDefault="00487F65" w:rsidP="00487F65">
            <w:pPr>
              <w:pStyle w:val="Tabel-BrdtekstmedafstandptekstGaramond"/>
            </w:pPr>
            <w:r>
              <w:t>LLO finder, at lovforslaget i</w:t>
            </w:r>
            <w:r>
              <w:t>n</w:t>
            </w:r>
            <w:r>
              <w:t>debærer en uacceptabel fo</w:t>
            </w:r>
            <w:r>
              <w:t>r</w:t>
            </w:r>
            <w:r>
              <w:t>skelsbehandling i ejerboligernes favør, idet den ekstra rabat kun gives til ejerboliger, og kun eje</w:t>
            </w:r>
            <w:r>
              <w:t>r</w:t>
            </w:r>
            <w:r>
              <w:t>boliger er omfattet af den udb</w:t>
            </w:r>
            <w:r>
              <w:t>e</w:t>
            </w:r>
            <w:r>
              <w:t>talingsordning, som regeringen vil indføre.</w:t>
            </w:r>
          </w:p>
          <w:p w:rsidR="002564FE" w:rsidRDefault="002564FE" w:rsidP="00487F65">
            <w:pPr>
              <w:pStyle w:val="Tabel-BrdtekstmedafstandptekstGaramond"/>
            </w:pPr>
          </w:p>
          <w:p w:rsidR="002564FE" w:rsidRDefault="002564FE" w:rsidP="002564FE">
            <w:pPr>
              <w:pStyle w:val="Tabel-BrdtekstmedafstandptekstGaramond"/>
            </w:pPr>
            <w:r>
              <w:t>LLO ønsker dernæst mulighed for, at lejere i den private udle</w:t>
            </w:r>
            <w:r>
              <w:t>j</w:t>
            </w:r>
            <w:r>
              <w:t>ningssektor får mulighed for at påklage vurderinger.</w:t>
            </w:r>
          </w:p>
        </w:tc>
        <w:tc>
          <w:tcPr>
            <w:tcW w:w="204" w:type="dxa"/>
            <w:shd w:val="clear" w:color="auto" w:fill="FFFFFF" w:themeFill="background1"/>
          </w:tcPr>
          <w:p w:rsidR="00487F65" w:rsidRPr="00B5346F" w:rsidRDefault="00487F65" w:rsidP="00430825"/>
        </w:tc>
        <w:tc>
          <w:tcPr>
            <w:tcW w:w="3212" w:type="dxa"/>
            <w:tcBorders>
              <w:bottom w:val="single" w:sz="4" w:space="0" w:color="14143C" w:themeColor="accent1"/>
            </w:tcBorders>
            <w:shd w:val="clear" w:color="auto" w:fill="D2CED8"/>
          </w:tcPr>
          <w:p w:rsidR="00487F65" w:rsidRDefault="002564FE" w:rsidP="002564FE">
            <w:pPr>
              <w:pStyle w:val="Tabel-BrdtekstmedafstandptekstGaramond"/>
            </w:pPr>
            <w:r>
              <w:t>Der henvises til kommentar til henvendelsen fra BL Danmarks Almene Boliger.</w:t>
            </w:r>
          </w:p>
          <w:p w:rsidR="002564FE" w:rsidRDefault="002564FE" w:rsidP="002564FE">
            <w:pPr>
              <w:pStyle w:val="Tabel-BrdtekstmedafstandptekstGaramond"/>
            </w:pPr>
          </w:p>
          <w:p w:rsidR="002564FE" w:rsidRDefault="002564FE" w:rsidP="002564FE">
            <w:pPr>
              <w:pStyle w:val="Tabel-BrdtekstmedafstandptekstGaramond"/>
            </w:pPr>
          </w:p>
          <w:p w:rsidR="002564FE" w:rsidRDefault="002564FE" w:rsidP="002564FE">
            <w:pPr>
              <w:pStyle w:val="Tabel-BrdtekstmedafstandptekstGaramond"/>
            </w:pPr>
          </w:p>
          <w:p w:rsidR="002564FE" w:rsidRDefault="002564FE" w:rsidP="002564FE">
            <w:pPr>
              <w:pStyle w:val="Tabel-BrdtekstmedafstandptekstGaramond"/>
            </w:pPr>
          </w:p>
          <w:p w:rsidR="002564FE" w:rsidRDefault="002564FE" w:rsidP="002564FE">
            <w:pPr>
              <w:pStyle w:val="Tabel-BrdtekstmedafstandptekstGaramond"/>
            </w:pPr>
          </w:p>
          <w:p w:rsidR="002564FE" w:rsidRDefault="002564FE" w:rsidP="002564FE">
            <w:pPr>
              <w:pStyle w:val="Tabel-BrdtekstmedafstandptekstGaramond"/>
            </w:pPr>
          </w:p>
          <w:p w:rsidR="002564FE" w:rsidRPr="00B5346F" w:rsidRDefault="00E024EA" w:rsidP="00E024EA">
            <w:pPr>
              <w:pStyle w:val="Tabel-BrdtekstmedafstandptekstGaramond"/>
            </w:pPr>
            <w:r>
              <w:t>De generelle klageregler - he</w:t>
            </w:r>
            <w:r>
              <w:t>r</w:t>
            </w:r>
            <w:r>
              <w:t>under hvem der er klageberett</w:t>
            </w:r>
            <w:r>
              <w:t>i</w:t>
            </w:r>
            <w:r>
              <w:t>get - vil skulle overvejes i fo</w:t>
            </w:r>
            <w:r>
              <w:t>r</w:t>
            </w:r>
            <w:r>
              <w:t xml:space="preserve">bindelse med etableringen af et nyt vurderingssystem. </w:t>
            </w:r>
          </w:p>
        </w:tc>
      </w:tr>
      <w:tr w:rsidR="0045370B" w:rsidRPr="00B5346F" w:rsidTr="0045370B">
        <w:tc>
          <w:tcPr>
            <w:tcW w:w="2813" w:type="dxa"/>
            <w:tcBorders>
              <w:top w:val="single" w:sz="4" w:space="0" w:color="D1C5C3" w:themeColor="accent3"/>
              <w:bottom w:val="single" w:sz="4" w:space="0" w:color="D1C5C3" w:themeColor="accent3"/>
            </w:tcBorders>
            <w:shd w:val="clear" w:color="auto" w:fill="FBF9F9"/>
          </w:tcPr>
          <w:p w:rsidR="00815F28" w:rsidRPr="00600E3E" w:rsidRDefault="0045370B" w:rsidP="00430825">
            <w:pPr>
              <w:pStyle w:val="Tabel-BrdtekstmedafstandptekstGaramond"/>
              <w:rPr>
                <w:i/>
              </w:rPr>
            </w:pPr>
            <w:r>
              <w:rPr>
                <w:i/>
              </w:rPr>
              <w:lastRenderedPageBreak/>
              <w:t>SKAT</w:t>
            </w:r>
          </w:p>
        </w:tc>
        <w:tc>
          <w:tcPr>
            <w:tcW w:w="189" w:type="dxa"/>
            <w:shd w:val="clear" w:color="auto" w:fill="FFFFFF" w:themeFill="background1"/>
          </w:tcPr>
          <w:p w:rsidR="00815F28" w:rsidRPr="00B5346F" w:rsidRDefault="00815F28" w:rsidP="00430825"/>
        </w:tc>
        <w:tc>
          <w:tcPr>
            <w:tcW w:w="3221" w:type="dxa"/>
            <w:tcBorders>
              <w:top w:val="single" w:sz="4" w:space="0" w:color="D1C5C3" w:themeColor="accent3"/>
              <w:bottom w:val="single" w:sz="4" w:space="0" w:color="D1C5C3" w:themeColor="accent3"/>
            </w:tcBorders>
            <w:shd w:val="clear" w:color="auto" w:fill="FBF9F9"/>
          </w:tcPr>
          <w:p w:rsidR="00815F28" w:rsidRPr="00B5346F" w:rsidRDefault="00360D3F" w:rsidP="00430825">
            <w:pPr>
              <w:pStyle w:val="Tabel-BrdtekstmedafstandptekstGaramond"/>
            </w:pPr>
            <w:r>
              <w:t>Ingen bemærkninger.</w:t>
            </w:r>
          </w:p>
        </w:tc>
        <w:tc>
          <w:tcPr>
            <w:tcW w:w="204" w:type="dxa"/>
            <w:shd w:val="clear" w:color="auto" w:fill="FFFFFF" w:themeFill="background1"/>
          </w:tcPr>
          <w:p w:rsidR="00815F28" w:rsidRPr="00B5346F" w:rsidRDefault="00815F28" w:rsidP="00430825"/>
        </w:tc>
        <w:tc>
          <w:tcPr>
            <w:tcW w:w="3212" w:type="dxa"/>
            <w:tcBorders>
              <w:top w:val="single" w:sz="4" w:space="0" w:color="14143C" w:themeColor="accent1"/>
              <w:bottom w:val="single" w:sz="4" w:space="0" w:color="14143C" w:themeColor="accent1"/>
            </w:tcBorders>
            <w:shd w:val="clear" w:color="auto" w:fill="D2CED8"/>
          </w:tcPr>
          <w:p w:rsidR="00815F28" w:rsidRPr="00B5346F" w:rsidRDefault="00815F28" w:rsidP="00430825">
            <w:pPr>
              <w:pStyle w:val="Tabel-BrdtekstmedafstandptekstGaramond"/>
            </w:pPr>
          </w:p>
        </w:tc>
      </w:tr>
      <w:tr w:rsidR="0045370B" w:rsidRPr="00B5346F" w:rsidTr="0045370B">
        <w:tc>
          <w:tcPr>
            <w:tcW w:w="2813" w:type="dxa"/>
            <w:tcBorders>
              <w:top w:val="single" w:sz="4" w:space="0" w:color="D1C5C3" w:themeColor="accent3"/>
              <w:bottom w:val="single" w:sz="4" w:space="0" w:color="D1C5C3" w:themeColor="accent3"/>
            </w:tcBorders>
            <w:shd w:val="clear" w:color="auto" w:fill="FBF9F9"/>
          </w:tcPr>
          <w:p w:rsidR="00815F28" w:rsidRPr="00600E3E" w:rsidRDefault="0045370B" w:rsidP="0045370B">
            <w:pPr>
              <w:pStyle w:val="Tabel-BrdtekstmedafstandptekstGaramond"/>
              <w:rPr>
                <w:i/>
              </w:rPr>
            </w:pPr>
            <w:r>
              <w:rPr>
                <w:i/>
              </w:rPr>
              <w:t>Skatteankestyrelsen</w:t>
            </w:r>
          </w:p>
        </w:tc>
        <w:tc>
          <w:tcPr>
            <w:tcW w:w="189" w:type="dxa"/>
            <w:shd w:val="clear" w:color="auto" w:fill="FFFFFF" w:themeFill="background1"/>
          </w:tcPr>
          <w:p w:rsidR="00815F28" w:rsidRPr="00B5346F" w:rsidRDefault="00815F28" w:rsidP="00430825"/>
        </w:tc>
        <w:tc>
          <w:tcPr>
            <w:tcW w:w="3221" w:type="dxa"/>
            <w:tcBorders>
              <w:top w:val="single" w:sz="4" w:space="0" w:color="D1C5C3" w:themeColor="accent3"/>
              <w:bottom w:val="single" w:sz="4" w:space="0" w:color="D1C5C3" w:themeColor="accent3"/>
            </w:tcBorders>
            <w:shd w:val="clear" w:color="auto" w:fill="FBF9F9"/>
          </w:tcPr>
          <w:p w:rsidR="00815F28" w:rsidRPr="00B5346F" w:rsidRDefault="00360D3F" w:rsidP="00430825">
            <w:pPr>
              <w:pStyle w:val="Tabel-BrdtekstmedafstandptekstGaramond"/>
            </w:pPr>
            <w:r>
              <w:t>Ingen bemærkninger.</w:t>
            </w:r>
          </w:p>
        </w:tc>
        <w:tc>
          <w:tcPr>
            <w:tcW w:w="204" w:type="dxa"/>
            <w:shd w:val="clear" w:color="auto" w:fill="FFFFFF" w:themeFill="background1"/>
          </w:tcPr>
          <w:p w:rsidR="00815F28" w:rsidRPr="00B5346F" w:rsidRDefault="00815F28" w:rsidP="00430825"/>
        </w:tc>
        <w:tc>
          <w:tcPr>
            <w:tcW w:w="3212" w:type="dxa"/>
            <w:tcBorders>
              <w:top w:val="single" w:sz="4" w:space="0" w:color="14143C" w:themeColor="accent1"/>
              <w:bottom w:val="single" w:sz="4" w:space="0" w:color="14143C" w:themeColor="accent1"/>
            </w:tcBorders>
            <w:shd w:val="clear" w:color="auto" w:fill="D2CED8"/>
          </w:tcPr>
          <w:p w:rsidR="00815F28" w:rsidRPr="00B5346F" w:rsidRDefault="00815F28" w:rsidP="00430825">
            <w:pPr>
              <w:pStyle w:val="Tabel-BrdtekstmedafstandptekstGaramond"/>
            </w:pPr>
          </w:p>
        </w:tc>
      </w:tr>
      <w:tr w:rsidR="0045370B" w:rsidRPr="00B5346F" w:rsidTr="0045370B">
        <w:tc>
          <w:tcPr>
            <w:tcW w:w="2813" w:type="dxa"/>
            <w:tcBorders>
              <w:top w:val="single" w:sz="4" w:space="0" w:color="D1C5C3" w:themeColor="accent3"/>
              <w:bottom w:val="single" w:sz="4" w:space="0" w:color="D1C5C3" w:themeColor="accent3"/>
            </w:tcBorders>
            <w:shd w:val="clear" w:color="auto" w:fill="FBF9F9"/>
          </w:tcPr>
          <w:p w:rsidR="00815F28" w:rsidRPr="00600E3E" w:rsidRDefault="0045370B" w:rsidP="00430825">
            <w:pPr>
              <w:pStyle w:val="Tabel-BrdtekstmedafstandptekstGaramond"/>
              <w:rPr>
                <w:i/>
              </w:rPr>
            </w:pPr>
            <w:r>
              <w:rPr>
                <w:i/>
              </w:rPr>
              <w:t>SRF Skattefaglig Forening</w:t>
            </w:r>
          </w:p>
        </w:tc>
        <w:tc>
          <w:tcPr>
            <w:tcW w:w="189" w:type="dxa"/>
            <w:shd w:val="clear" w:color="auto" w:fill="FFFFFF" w:themeFill="background1"/>
          </w:tcPr>
          <w:p w:rsidR="00815F28" w:rsidRPr="00B5346F" w:rsidRDefault="00815F28" w:rsidP="00430825"/>
        </w:tc>
        <w:tc>
          <w:tcPr>
            <w:tcW w:w="3221" w:type="dxa"/>
            <w:tcBorders>
              <w:top w:val="single" w:sz="4" w:space="0" w:color="D1C5C3" w:themeColor="accent3"/>
              <w:bottom w:val="single" w:sz="4" w:space="0" w:color="D1C5C3" w:themeColor="accent3"/>
            </w:tcBorders>
            <w:shd w:val="clear" w:color="auto" w:fill="FBF9F9"/>
          </w:tcPr>
          <w:p w:rsidR="00815F28" w:rsidRPr="00B5346F" w:rsidRDefault="00360D3F" w:rsidP="00430825">
            <w:pPr>
              <w:pStyle w:val="Tabel-BrdtekstmedafstandptekstGaramond"/>
            </w:pPr>
            <w:r>
              <w:t>Ingen bemærkninger.</w:t>
            </w:r>
          </w:p>
        </w:tc>
        <w:tc>
          <w:tcPr>
            <w:tcW w:w="204" w:type="dxa"/>
            <w:shd w:val="clear" w:color="auto" w:fill="FFFFFF" w:themeFill="background1"/>
          </w:tcPr>
          <w:p w:rsidR="00815F28" w:rsidRPr="00B5346F" w:rsidRDefault="00815F28" w:rsidP="00430825"/>
        </w:tc>
        <w:tc>
          <w:tcPr>
            <w:tcW w:w="3212" w:type="dxa"/>
            <w:tcBorders>
              <w:top w:val="single" w:sz="4" w:space="0" w:color="14143C" w:themeColor="accent1"/>
              <w:bottom w:val="single" w:sz="4" w:space="0" w:color="14143C" w:themeColor="accent1"/>
            </w:tcBorders>
            <w:shd w:val="clear" w:color="auto" w:fill="D2CED8"/>
          </w:tcPr>
          <w:p w:rsidR="00815F28" w:rsidRPr="00B5346F" w:rsidRDefault="00815F28" w:rsidP="00430825">
            <w:pPr>
              <w:pStyle w:val="Tabel-BrdtekstmedafstandptekstGaramond"/>
            </w:pPr>
          </w:p>
        </w:tc>
      </w:tr>
      <w:tr w:rsidR="0045370B" w:rsidRPr="00B5346F" w:rsidTr="0045370B">
        <w:tc>
          <w:tcPr>
            <w:tcW w:w="2813" w:type="dxa"/>
            <w:tcBorders>
              <w:top w:val="single" w:sz="4" w:space="0" w:color="D1C5C3" w:themeColor="accent3"/>
              <w:bottom w:val="single" w:sz="4" w:space="0" w:color="D1C5C3" w:themeColor="accent3"/>
            </w:tcBorders>
            <w:shd w:val="clear" w:color="auto" w:fill="FBF9F9"/>
          </w:tcPr>
          <w:p w:rsidR="00815F28" w:rsidRPr="00600E3E" w:rsidRDefault="0045370B" w:rsidP="00430825">
            <w:pPr>
              <w:pStyle w:val="Tabel-BrdtekstmedafstandptekstGaramond"/>
              <w:rPr>
                <w:i/>
              </w:rPr>
            </w:pPr>
            <w:r>
              <w:rPr>
                <w:i/>
              </w:rPr>
              <w:t>Vurderingsankenævnsforeningen</w:t>
            </w:r>
          </w:p>
        </w:tc>
        <w:tc>
          <w:tcPr>
            <w:tcW w:w="189" w:type="dxa"/>
            <w:shd w:val="clear" w:color="auto" w:fill="FFFFFF" w:themeFill="background1"/>
          </w:tcPr>
          <w:p w:rsidR="00815F28" w:rsidRPr="00B5346F" w:rsidRDefault="00815F28" w:rsidP="00430825"/>
        </w:tc>
        <w:tc>
          <w:tcPr>
            <w:tcW w:w="3221" w:type="dxa"/>
            <w:tcBorders>
              <w:top w:val="single" w:sz="4" w:space="0" w:color="D1C5C3" w:themeColor="accent3"/>
              <w:bottom w:val="single" w:sz="4" w:space="0" w:color="D1C5C3" w:themeColor="accent3"/>
            </w:tcBorders>
            <w:shd w:val="clear" w:color="auto" w:fill="FBF9F9"/>
          </w:tcPr>
          <w:p w:rsidR="00815F28" w:rsidRPr="00B5346F" w:rsidRDefault="00360D3F" w:rsidP="00430825">
            <w:pPr>
              <w:pStyle w:val="Tabel-BrdtekstmedafstandptekstGaramond"/>
            </w:pPr>
            <w:r>
              <w:t>Ingen bemærkninger.</w:t>
            </w:r>
          </w:p>
        </w:tc>
        <w:tc>
          <w:tcPr>
            <w:tcW w:w="204" w:type="dxa"/>
            <w:shd w:val="clear" w:color="auto" w:fill="FFFFFF" w:themeFill="background1"/>
          </w:tcPr>
          <w:p w:rsidR="00815F28" w:rsidRPr="00B5346F" w:rsidRDefault="00815F28" w:rsidP="00430825"/>
        </w:tc>
        <w:tc>
          <w:tcPr>
            <w:tcW w:w="3212" w:type="dxa"/>
            <w:tcBorders>
              <w:top w:val="single" w:sz="4" w:space="0" w:color="14143C" w:themeColor="accent1"/>
              <w:bottom w:val="single" w:sz="4" w:space="0" w:color="14143C" w:themeColor="accent1"/>
            </w:tcBorders>
            <w:shd w:val="clear" w:color="auto" w:fill="D2CED8"/>
          </w:tcPr>
          <w:p w:rsidR="00815F28" w:rsidRPr="00B5346F" w:rsidRDefault="00815F28" w:rsidP="00430825">
            <w:pPr>
              <w:pStyle w:val="Tabel-BrdtekstmedafstandptekstGaramond"/>
            </w:pPr>
          </w:p>
        </w:tc>
      </w:tr>
    </w:tbl>
    <w:p w:rsidR="00600E3E" w:rsidRPr="00F37F63" w:rsidRDefault="00600E3E" w:rsidP="00525EEE">
      <w:pPr>
        <w:keepNext/>
        <w:keepLines/>
      </w:pPr>
    </w:p>
    <w:sectPr w:rsidR="00600E3E" w:rsidRPr="00F37F63" w:rsidSect="00207BEC">
      <w:headerReference w:type="even" r:id="rId8"/>
      <w:headerReference w:type="default" r:id="rId9"/>
      <w:footerReference w:type="even" r:id="rId10"/>
      <w:footerReference w:type="default" r:id="rId11"/>
      <w:headerReference w:type="first" r:id="rId12"/>
      <w:footerReference w:type="first" r:id="rId13"/>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64" w:rsidRDefault="00CD5864" w:rsidP="009E4B94">
      <w:pPr>
        <w:spacing w:line="240" w:lineRule="auto"/>
      </w:pPr>
      <w:r>
        <w:separator/>
      </w:r>
    </w:p>
  </w:endnote>
  <w:endnote w:type="continuationSeparator" w:id="0">
    <w:p w:rsidR="00CD5864" w:rsidRDefault="00CD5864"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3C" w:rsidRDefault="0027363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3C" w:rsidRPr="00681D83" w:rsidRDefault="0027363C" w:rsidP="00C51167">
    <w:pPr>
      <w:pStyle w:val="Sidefod"/>
    </w:pPr>
    <w:r>
      <w:rPr>
        <w:noProof/>
        <w:lang w:eastAsia="da-DK"/>
      </w:rPr>
      <mc:AlternateContent>
        <mc:Choice Requires="wps">
          <w:drawing>
            <wp:anchor distT="0" distB="0" distL="114300" distR="114300" simplePos="0" relativeHeight="251662336" behindDoc="0" locked="0" layoutInCell="1" allowOverlap="1" wp14:anchorId="377769AD" wp14:editId="7B1DD9C7">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363C" w:rsidRPr="00094ABD" w:rsidRDefault="0027363C"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06188A">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06188A">
                            <w:rPr>
                              <w:rStyle w:val="Sidetal"/>
                              <w:noProof/>
                            </w:rPr>
                            <w:t>13</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" filled="f" stroked="f" strokeweight=".5pt">
              <v:textbox style="mso-fit-shape-to-text:t" inset="0,0,0,0">
                <w:txbxContent>
                  <w:p w:rsidR="0027363C" w:rsidRPr="00094ABD" w:rsidRDefault="0027363C"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06188A">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06188A">
                      <w:rPr>
                        <w:rStyle w:val="Sidetal"/>
                        <w:noProof/>
                      </w:rPr>
                      <w:t>13</w:t>
                    </w:r>
                    <w:r w:rsidRPr="00094ABD">
                      <w:rPr>
                        <w:rStyle w:val="Sidetal"/>
                      </w:rPr>
                      <w:fldChar w:fldCharType="end"/>
                    </w:r>
                  </w:p>
                </w:txbxContent>
              </v:textbox>
              <w10:wrap anchorx="margin" anchory="page"/>
            </v:shape>
          </w:pict>
        </mc:Fallback>
      </mc:AlternateContent>
    </w:r>
    <w:r>
      <w:rPr>
        <w:noProof/>
        <w:lang w:eastAsia="da-DK"/>
      </w:rPr>
      <w:drawing>
        <wp:anchor distT="0" distB="0" distL="114300" distR="114300" simplePos="0" relativeHeight="251669504" behindDoc="0" locked="0" layoutInCell="1" allowOverlap="1" wp14:anchorId="43388F85" wp14:editId="6BE6AE44">
          <wp:simplePos x="0" y="0"/>
          <wp:positionH relativeFrom="page">
            <wp:posOffset>5929630</wp:posOffset>
          </wp:positionH>
          <wp:positionV relativeFrom="page">
            <wp:posOffset>10261600</wp:posOffset>
          </wp:positionV>
          <wp:extent cx="1270800" cy="7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3C" w:rsidRPr="00094ABD" w:rsidRDefault="0027363C" w:rsidP="00C51167">
    <w:pPr>
      <w:pStyle w:val="Sidefod"/>
    </w:pPr>
    <w:r>
      <w:rPr>
        <w:noProof/>
        <w:lang w:eastAsia="da-DK"/>
      </w:rPr>
      <w:drawing>
        <wp:anchor distT="0" distB="0" distL="114300" distR="114300" simplePos="0" relativeHeight="251667456" behindDoc="0" locked="0" layoutInCell="1" allowOverlap="1" wp14:anchorId="1E984082" wp14:editId="51EF7EE3">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64" w:rsidRDefault="00CD5864" w:rsidP="009E4B94">
      <w:pPr>
        <w:spacing w:line="240" w:lineRule="auto"/>
      </w:pPr>
      <w:r>
        <w:separator/>
      </w:r>
    </w:p>
  </w:footnote>
  <w:footnote w:type="continuationSeparator" w:id="0">
    <w:p w:rsidR="00CD5864" w:rsidRDefault="00CD5864"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3C" w:rsidRDefault="0027363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3C" w:rsidRDefault="0027363C">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3C" w:rsidRDefault="0027363C" w:rsidP="00CE262C">
    <w:pPr>
      <w:pStyle w:val="Sidehoved"/>
    </w:pPr>
    <w:r>
      <w:rPr>
        <w:noProof/>
        <w:lang w:eastAsia="da-DK"/>
      </w:rPr>
      <w:drawing>
        <wp:anchor distT="0" distB="0" distL="114300" distR="114300" simplePos="0" relativeHeight="251666432" behindDoc="0" locked="0" layoutInCell="1" allowOverlap="1" wp14:anchorId="0BB85573" wp14:editId="39B2E216">
          <wp:simplePos x="0" y="0"/>
          <wp:positionH relativeFrom="page">
            <wp:posOffset>3009900</wp:posOffset>
          </wp:positionH>
          <wp:positionV relativeFrom="page">
            <wp:posOffset>487680</wp:posOffset>
          </wp:positionV>
          <wp:extent cx="154686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040B5A1F"/>
    <w:multiLevelType w:val="hybridMultilevel"/>
    <w:tmpl w:val="BC2A50BC"/>
    <w:lvl w:ilvl="0" w:tplc="B5C0091C">
      <w:start w:val="1"/>
      <w:numFmt w:val="decimal"/>
      <w:lvlText w:val="%1."/>
      <w:lvlJc w:val="left"/>
      <w:pPr>
        <w:ind w:left="587" w:hanging="360"/>
      </w:pPr>
      <w:rPr>
        <w:rFonts w:hint="default"/>
        <w:u w:val="single"/>
      </w:rPr>
    </w:lvl>
    <w:lvl w:ilvl="1" w:tplc="04060019" w:tentative="1">
      <w:start w:val="1"/>
      <w:numFmt w:val="lowerLetter"/>
      <w:lvlText w:val="%2."/>
      <w:lvlJc w:val="left"/>
      <w:pPr>
        <w:ind w:left="1307" w:hanging="360"/>
      </w:pPr>
    </w:lvl>
    <w:lvl w:ilvl="2" w:tplc="0406001B" w:tentative="1">
      <w:start w:val="1"/>
      <w:numFmt w:val="lowerRoman"/>
      <w:lvlText w:val="%3."/>
      <w:lvlJc w:val="right"/>
      <w:pPr>
        <w:ind w:left="2027" w:hanging="180"/>
      </w:pPr>
    </w:lvl>
    <w:lvl w:ilvl="3" w:tplc="0406000F" w:tentative="1">
      <w:start w:val="1"/>
      <w:numFmt w:val="decimal"/>
      <w:lvlText w:val="%4."/>
      <w:lvlJc w:val="left"/>
      <w:pPr>
        <w:ind w:left="2747" w:hanging="360"/>
      </w:pPr>
    </w:lvl>
    <w:lvl w:ilvl="4" w:tplc="04060019" w:tentative="1">
      <w:start w:val="1"/>
      <w:numFmt w:val="lowerLetter"/>
      <w:lvlText w:val="%5."/>
      <w:lvlJc w:val="left"/>
      <w:pPr>
        <w:ind w:left="3467" w:hanging="360"/>
      </w:pPr>
    </w:lvl>
    <w:lvl w:ilvl="5" w:tplc="0406001B" w:tentative="1">
      <w:start w:val="1"/>
      <w:numFmt w:val="lowerRoman"/>
      <w:lvlText w:val="%6."/>
      <w:lvlJc w:val="right"/>
      <w:pPr>
        <w:ind w:left="4187" w:hanging="180"/>
      </w:pPr>
    </w:lvl>
    <w:lvl w:ilvl="6" w:tplc="0406000F" w:tentative="1">
      <w:start w:val="1"/>
      <w:numFmt w:val="decimal"/>
      <w:lvlText w:val="%7."/>
      <w:lvlJc w:val="left"/>
      <w:pPr>
        <w:ind w:left="4907" w:hanging="360"/>
      </w:pPr>
    </w:lvl>
    <w:lvl w:ilvl="7" w:tplc="04060019" w:tentative="1">
      <w:start w:val="1"/>
      <w:numFmt w:val="lowerLetter"/>
      <w:lvlText w:val="%8."/>
      <w:lvlJc w:val="left"/>
      <w:pPr>
        <w:ind w:left="5627" w:hanging="360"/>
      </w:pPr>
    </w:lvl>
    <w:lvl w:ilvl="8" w:tplc="0406001B" w:tentative="1">
      <w:start w:val="1"/>
      <w:numFmt w:val="lowerRoman"/>
      <w:lvlText w:val="%9."/>
      <w:lvlJc w:val="right"/>
      <w:pPr>
        <w:ind w:left="6347" w:hanging="180"/>
      </w:pPr>
    </w:lvl>
  </w:abstractNum>
  <w:abstractNum w:abstractNumId="10">
    <w:nsid w:val="21C70E2E"/>
    <w:multiLevelType w:val="hybridMultilevel"/>
    <w:tmpl w:val="A510CDE6"/>
    <w:lvl w:ilvl="0" w:tplc="F2845A60">
      <w:numFmt w:val="bullet"/>
      <w:lvlText w:val="-"/>
      <w:lvlJc w:val="left"/>
      <w:pPr>
        <w:ind w:left="587" w:hanging="360"/>
      </w:pPr>
      <w:rPr>
        <w:rFonts w:ascii="Garamond" w:eastAsiaTheme="minorHAnsi" w:hAnsi="Garamond" w:cstheme="minorBidi" w:hint="default"/>
      </w:rPr>
    </w:lvl>
    <w:lvl w:ilvl="1" w:tplc="04060003" w:tentative="1">
      <w:start w:val="1"/>
      <w:numFmt w:val="bullet"/>
      <w:lvlText w:val="o"/>
      <w:lvlJc w:val="left"/>
      <w:pPr>
        <w:ind w:left="1307" w:hanging="360"/>
      </w:pPr>
      <w:rPr>
        <w:rFonts w:ascii="Courier New" w:hAnsi="Courier New" w:cs="Courier New" w:hint="default"/>
      </w:rPr>
    </w:lvl>
    <w:lvl w:ilvl="2" w:tplc="04060005" w:tentative="1">
      <w:start w:val="1"/>
      <w:numFmt w:val="bullet"/>
      <w:lvlText w:val=""/>
      <w:lvlJc w:val="left"/>
      <w:pPr>
        <w:ind w:left="2027" w:hanging="360"/>
      </w:pPr>
      <w:rPr>
        <w:rFonts w:ascii="Wingdings" w:hAnsi="Wingdings" w:hint="default"/>
      </w:rPr>
    </w:lvl>
    <w:lvl w:ilvl="3" w:tplc="04060001" w:tentative="1">
      <w:start w:val="1"/>
      <w:numFmt w:val="bullet"/>
      <w:lvlText w:val=""/>
      <w:lvlJc w:val="left"/>
      <w:pPr>
        <w:ind w:left="2747" w:hanging="360"/>
      </w:pPr>
      <w:rPr>
        <w:rFonts w:ascii="Symbol" w:hAnsi="Symbol" w:hint="default"/>
      </w:rPr>
    </w:lvl>
    <w:lvl w:ilvl="4" w:tplc="04060003" w:tentative="1">
      <w:start w:val="1"/>
      <w:numFmt w:val="bullet"/>
      <w:lvlText w:val="o"/>
      <w:lvlJc w:val="left"/>
      <w:pPr>
        <w:ind w:left="3467" w:hanging="360"/>
      </w:pPr>
      <w:rPr>
        <w:rFonts w:ascii="Courier New" w:hAnsi="Courier New" w:cs="Courier New" w:hint="default"/>
      </w:rPr>
    </w:lvl>
    <w:lvl w:ilvl="5" w:tplc="04060005" w:tentative="1">
      <w:start w:val="1"/>
      <w:numFmt w:val="bullet"/>
      <w:lvlText w:val=""/>
      <w:lvlJc w:val="left"/>
      <w:pPr>
        <w:ind w:left="4187" w:hanging="360"/>
      </w:pPr>
      <w:rPr>
        <w:rFonts w:ascii="Wingdings" w:hAnsi="Wingdings" w:hint="default"/>
      </w:rPr>
    </w:lvl>
    <w:lvl w:ilvl="6" w:tplc="04060001" w:tentative="1">
      <w:start w:val="1"/>
      <w:numFmt w:val="bullet"/>
      <w:lvlText w:val=""/>
      <w:lvlJc w:val="left"/>
      <w:pPr>
        <w:ind w:left="4907" w:hanging="360"/>
      </w:pPr>
      <w:rPr>
        <w:rFonts w:ascii="Symbol" w:hAnsi="Symbol" w:hint="default"/>
      </w:rPr>
    </w:lvl>
    <w:lvl w:ilvl="7" w:tplc="04060003" w:tentative="1">
      <w:start w:val="1"/>
      <w:numFmt w:val="bullet"/>
      <w:lvlText w:val="o"/>
      <w:lvlJc w:val="left"/>
      <w:pPr>
        <w:ind w:left="5627" w:hanging="360"/>
      </w:pPr>
      <w:rPr>
        <w:rFonts w:ascii="Courier New" w:hAnsi="Courier New" w:cs="Courier New" w:hint="default"/>
      </w:rPr>
    </w:lvl>
    <w:lvl w:ilvl="8" w:tplc="04060005" w:tentative="1">
      <w:start w:val="1"/>
      <w:numFmt w:val="bullet"/>
      <w:lvlText w:val=""/>
      <w:lvlJc w:val="left"/>
      <w:pPr>
        <w:ind w:left="6347" w:hanging="360"/>
      </w:pPr>
      <w:rPr>
        <w:rFonts w:ascii="Wingdings" w:hAnsi="Wingdings" w:hint="default"/>
      </w:rPr>
    </w:lvl>
  </w:abstractNum>
  <w:abstractNum w:abstractNumId="11">
    <w:nsid w:val="3F653971"/>
    <w:multiLevelType w:val="hybridMultilevel"/>
    <w:tmpl w:val="8654BF1A"/>
    <w:lvl w:ilvl="0" w:tplc="ACB08B2C">
      <w:numFmt w:val="bullet"/>
      <w:lvlText w:val="-"/>
      <w:lvlJc w:val="left"/>
      <w:pPr>
        <w:ind w:left="587" w:hanging="360"/>
      </w:pPr>
      <w:rPr>
        <w:rFonts w:ascii="Garamond" w:eastAsiaTheme="minorHAnsi" w:hAnsi="Garamond" w:cstheme="minorBidi" w:hint="default"/>
      </w:rPr>
    </w:lvl>
    <w:lvl w:ilvl="1" w:tplc="04060003" w:tentative="1">
      <w:start w:val="1"/>
      <w:numFmt w:val="bullet"/>
      <w:lvlText w:val="o"/>
      <w:lvlJc w:val="left"/>
      <w:pPr>
        <w:ind w:left="1307" w:hanging="360"/>
      </w:pPr>
      <w:rPr>
        <w:rFonts w:ascii="Courier New" w:hAnsi="Courier New" w:cs="Courier New" w:hint="default"/>
      </w:rPr>
    </w:lvl>
    <w:lvl w:ilvl="2" w:tplc="04060005" w:tentative="1">
      <w:start w:val="1"/>
      <w:numFmt w:val="bullet"/>
      <w:lvlText w:val=""/>
      <w:lvlJc w:val="left"/>
      <w:pPr>
        <w:ind w:left="2027" w:hanging="360"/>
      </w:pPr>
      <w:rPr>
        <w:rFonts w:ascii="Wingdings" w:hAnsi="Wingdings" w:hint="default"/>
      </w:rPr>
    </w:lvl>
    <w:lvl w:ilvl="3" w:tplc="04060001" w:tentative="1">
      <w:start w:val="1"/>
      <w:numFmt w:val="bullet"/>
      <w:lvlText w:val=""/>
      <w:lvlJc w:val="left"/>
      <w:pPr>
        <w:ind w:left="2747" w:hanging="360"/>
      </w:pPr>
      <w:rPr>
        <w:rFonts w:ascii="Symbol" w:hAnsi="Symbol" w:hint="default"/>
      </w:rPr>
    </w:lvl>
    <w:lvl w:ilvl="4" w:tplc="04060003" w:tentative="1">
      <w:start w:val="1"/>
      <w:numFmt w:val="bullet"/>
      <w:lvlText w:val="o"/>
      <w:lvlJc w:val="left"/>
      <w:pPr>
        <w:ind w:left="3467" w:hanging="360"/>
      </w:pPr>
      <w:rPr>
        <w:rFonts w:ascii="Courier New" w:hAnsi="Courier New" w:cs="Courier New" w:hint="default"/>
      </w:rPr>
    </w:lvl>
    <w:lvl w:ilvl="5" w:tplc="04060005" w:tentative="1">
      <w:start w:val="1"/>
      <w:numFmt w:val="bullet"/>
      <w:lvlText w:val=""/>
      <w:lvlJc w:val="left"/>
      <w:pPr>
        <w:ind w:left="4187" w:hanging="360"/>
      </w:pPr>
      <w:rPr>
        <w:rFonts w:ascii="Wingdings" w:hAnsi="Wingdings" w:hint="default"/>
      </w:rPr>
    </w:lvl>
    <w:lvl w:ilvl="6" w:tplc="04060001" w:tentative="1">
      <w:start w:val="1"/>
      <w:numFmt w:val="bullet"/>
      <w:lvlText w:val=""/>
      <w:lvlJc w:val="left"/>
      <w:pPr>
        <w:ind w:left="4907" w:hanging="360"/>
      </w:pPr>
      <w:rPr>
        <w:rFonts w:ascii="Symbol" w:hAnsi="Symbol" w:hint="default"/>
      </w:rPr>
    </w:lvl>
    <w:lvl w:ilvl="7" w:tplc="04060003" w:tentative="1">
      <w:start w:val="1"/>
      <w:numFmt w:val="bullet"/>
      <w:lvlText w:val="o"/>
      <w:lvlJc w:val="left"/>
      <w:pPr>
        <w:ind w:left="5627" w:hanging="360"/>
      </w:pPr>
      <w:rPr>
        <w:rFonts w:ascii="Courier New" w:hAnsi="Courier New" w:cs="Courier New" w:hint="default"/>
      </w:rPr>
    </w:lvl>
    <w:lvl w:ilvl="8" w:tplc="04060005" w:tentative="1">
      <w:start w:val="1"/>
      <w:numFmt w:val="bullet"/>
      <w:lvlText w:val=""/>
      <w:lvlJc w:val="left"/>
      <w:pPr>
        <w:ind w:left="6347" w:hanging="360"/>
      </w:pPr>
      <w:rPr>
        <w:rFonts w:ascii="Wingdings" w:hAnsi="Wingdings" w:hint="default"/>
      </w:rPr>
    </w:lvl>
  </w:abstractNum>
  <w:abstractNum w:abstractNumId="12">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3">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EE"/>
    <w:rsid w:val="00004865"/>
    <w:rsid w:val="00006F66"/>
    <w:rsid w:val="0000703F"/>
    <w:rsid w:val="0001534C"/>
    <w:rsid w:val="00017063"/>
    <w:rsid w:val="00017586"/>
    <w:rsid w:val="0002656E"/>
    <w:rsid w:val="00027B77"/>
    <w:rsid w:val="00030F87"/>
    <w:rsid w:val="00031936"/>
    <w:rsid w:val="000423FF"/>
    <w:rsid w:val="00045E50"/>
    <w:rsid w:val="00052B22"/>
    <w:rsid w:val="0006188A"/>
    <w:rsid w:val="00062109"/>
    <w:rsid w:val="00066A26"/>
    <w:rsid w:val="000735F9"/>
    <w:rsid w:val="00081169"/>
    <w:rsid w:val="00094ABD"/>
    <w:rsid w:val="000A42E7"/>
    <w:rsid w:val="000B2946"/>
    <w:rsid w:val="000C4289"/>
    <w:rsid w:val="000C5D31"/>
    <w:rsid w:val="000C6781"/>
    <w:rsid w:val="000D1D3E"/>
    <w:rsid w:val="000F4D15"/>
    <w:rsid w:val="00112EB6"/>
    <w:rsid w:val="00121584"/>
    <w:rsid w:val="00123661"/>
    <w:rsid w:val="001278A8"/>
    <w:rsid w:val="00127940"/>
    <w:rsid w:val="00131F5D"/>
    <w:rsid w:val="0013244F"/>
    <w:rsid w:val="001369DA"/>
    <w:rsid w:val="00153F40"/>
    <w:rsid w:val="001557AE"/>
    <w:rsid w:val="00161AF0"/>
    <w:rsid w:val="00165D2F"/>
    <w:rsid w:val="00182651"/>
    <w:rsid w:val="00182FDC"/>
    <w:rsid w:val="001863A7"/>
    <w:rsid w:val="001A2678"/>
    <w:rsid w:val="001A3F77"/>
    <w:rsid w:val="001D0093"/>
    <w:rsid w:val="001D6BD9"/>
    <w:rsid w:val="001E20D4"/>
    <w:rsid w:val="001E79D1"/>
    <w:rsid w:val="001F374B"/>
    <w:rsid w:val="0020002A"/>
    <w:rsid w:val="00203DE6"/>
    <w:rsid w:val="00207BEC"/>
    <w:rsid w:val="0022582F"/>
    <w:rsid w:val="00225BD6"/>
    <w:rsid w:val="002301C3"/>
    <w:rsid w:val="00244D70"/>
    <w:rsid w:val="002564FE"/>
    <w:rsid w:val="0026468A"/>
    <w:rsid w:val="00267514"/>
    <w:rsid w:val="0027363C"/>
    <w:rsid w:val="0027396D"/>
    <w:rsid w:val="002870F4"/>
    <w:rsid w:val="002B0441"/>
    <w:rsid w:val="002B3C73"/>
    <w:rsid w:val="002C258E"/>
    <w:rsid w:val="002E233E"/>
    <w:rsid w:val="002E30A1"/>
    <w:rsid w:val="002E6B15"/>
    <w:rsid w:val="002E74A4"/>
    <w:rsid w:val="00302887"/>
    <w:rsid w:val="003075A8"/>
    <w:rsid w:val="0032632C"/>
    <w:rsid w:val="003360B2"/>
    <w:rsid w:val="00351C70"/>
    <w:rsid w:val="00360D3F"/>
    <w:rsid w:val="003922A7"/>
    <w:rsid w:val="003A0749"/>
    <w:rsid w:val="003B35B0"/>
    <w:rsid w:val="003C4F9F"/>
    <w:rsid w:val="003C60F1"/>
    <w:rsid w:val="003F52AC"/>
    <w:rsid w:val="00404BF7"/>
    <w:rsid w:val="00407394"/>
    <w:rsid w:val="004141C6"/>
    <w:rsid w:val="00415896"/>
    <w:rsid w:val="00416196"/>
    <w:rsid w:val="00421B09"/>
    <w:rsid w:val="00424709"/>
    <w:rsid w:val="00425F90"/>
    <w:rsid w:val="00430825"/>
    <w:rsid w:val="00446687"/>
    <w:rsid w:val="0045370B"/>
    <w:rsid w:val="00455537"/>
    <w:rsid w:val="00457A3C"/>
    <w:rsid w:val="00466136"/>
    <w:rsid w:val="00484640"/>
    <w:rsid w:val="00487F65"/>
    <w:rsid w:val="00491D5C"/>
    <w:rsid w:val="004A499E"/>
    <w:rsid w:val="004A5600"/>
    <w:rsid w:val="004B0178"/>
    <w:rsid w:val="004B2E2D"/>
    <w:rsid w:val="004B5150"/>
    <w:rsid w:val="004C01B2"/>
    <w:rsid w:val="004C2D1C"/>
    <w:rsid w:val="004C590E"/>
    <w:rsid w:val="004D0057"/>
    <w:rsid w:val="004D0A20"/>
    <w:rsid w:val="004D2BD7"/>
    <w:rsid w:val="004D46CB"/>
    <w:rsid w:val="004E5FA3"/>
    <w:rsid w:val="0050083A"/>
    <w:rsid w:val="00503680"/>
    <w:rsid w:val="00504882"/>
    <w:rsid w:val="00522DA7"/>
    <w:rsid w:val="00525897"/>
    <w:rsid w:val="00525EEE"/>
    <w:rsid w:val="00530A82"/>
    <w:rsid w:val="00535188"/>
    <w:rsid w:val="0053662E"/>
    <w:rsid w:val="00540322"/>
    <w:rsid w:val="005415E5"/>
    <w:rsid w:val="00546077"/>
    <w:rsid w:val="00562DFF"/>
    <w:rsid w:val="00563829"/>
    <w:rsid w:val="005A28D4"/>
    <w:rsid w:val="005B082A"/>
    <w:rsid w:val="005B4028"/>
    <w:rsid w:val="005C5639"/>
    <w:rsid w:val="005C5F97"/>
    <w:rsid w:val="005D1811"/>
    <w:rsid w:val="005D21A4"/>
    <w:rsid w:val="005D58C1"/>
    <w:rsid w:val="005F1580"/>
    <w:rsid w:val="005F3493"/>
    <w:rsid w:val="005F3ED8"/>
    <w:rsid w:val="00600E3E"/>
    <w:rsid w:val="00622C50"/>
    <w:rsid w:val="00637CAF"/>
    <w:rsid w:val="00642CBC"/>
    <w:rsid w:val="00655B49"/>
    <w:rsid w:val="0067143B"/>
    <w:rsid w:val="0067171A"/>
    <w:rsid w:val="0067386E"/>
    <w:rsid w:val="00681D83"/>
    <w:rsid w:val="006900C2"/>
    <w:rsid w:val="00694421"/>
    <w:rsid w:val="006A5936"/>
    <w:rsid w:val="006B0F61"/>
    <w:rsid w:val="006B19D0"/>
    <w:rsid w:val="006B30A9"/>
    <w:rsid w:val="006F6849"/>
    <w:rsid w:val="0070267E"/>
    <w:rsid w:val="00703B3F"/>
    <w:rsid w:val="007043DE"/>
    <w:rsid w:val="00706E32"/>
    <w:rsid w:val="00707273"/>
    <w:rsid w:val="007126D8"/>
    <w:rsid w:val="00713F98"/>
    <w:rsid w:val="007154F3"/>
    <w:rsid w:val="007327A9"/>
    <w:rsid w:val="00735294"/>
    <w:rsid w:val="007546AF"/>
    <w:rsid w:val="00765934"/>
    <w:rsid w:val="00770410"/>
    <w:rsid w:val="00773919"/>
    <w:rsid w:val="00775409"/>
    <w:rsid w:val="00786FCF"/>
    <w:rsid w:val="0078774E"/>
    <w:rsid w:val="0079525E"/>
    <w:rsid w:val="007A1B96"/>
    <w:rsid w:val="007A2D34"/>
    <w:rsid w:val="007D1862"/>
    <w:rsid w:val="007E0E19"/>
    <w:rsid w:val="007E2CF5"/>
    <w:rsid w:val="007E373C"/>
    <w:rsid w:val="00801F34"/>
    <w:rsid w:val="00815F28"/>
    <w:rsid w:val="00824115"/>
    <w:rsid w:val="0083208B"/>
    <w:rsid w:val="00846B9F"/>
    <w:rsid w:val="008531FB"/>
    <w:rsid w:val="00854545"/>
    <w:rsid w:val="00864D45"/>
    <w:rsid w:val="008662D3"/>
    <w:rsid w:val="00870970"/>
    <w:rsid w:val="008826C6"/>
    <w:rsid w:val="00892D08"/>
    <w:rsid w:val="00893791"/>
    <w:rsid w:val="00894888"/>
    <w:rsid w:val="008A1E22"/>
    <w:rsid w:val="008B5B59"/>
    <w:rsid w:val="008B797F"/>
    <w:rsid w:val="008C64E1"/>
    <w:rsid w:val="008D000A"/>
    <w:rsid w:val="008D2509"/>
    <w:rsid w:val="008D5A02"/>
    <w:rsid w:val="008E0FA9"/>
    <w:rsid w:val="008E2ECE"/>
    <w:rsid w:val="008E4C26"/>
    <w:rsid w:val="008E5A6D"/>
    <w:rsid w:val="008F32DF"/>
    <w:rsid w:val="008F4D20"/>
    <w:rsid w:val="008F5407"/>
    <w:rsid w:val="008F5726"/>
    <w:rsid w:val="00902C3D"/>
    <w:rsid w:val="0092171B"/>
    <w:rsid w:val="0094727B"/>
    <w:rsid w:val="00947BA0"/>
    <w:rsid w:val="00951B25"/>
    <w:rsid w:val="00954B8F"/>
    <w:rsid w:val="00956770"/>
    <w:rsid w:val="00964C35"/>
    <w:rsid w:val="009662ED"/>
    <w:rsid w:val="00967833"/>
    <w:rsid w:val="009678F1"/>
    <w:rsid w:val="00977ED4"/>
    <w:rsid w:val="00983B74"/>
    <w:rsid w:val="00986D8F"/>
    <w:rsid w:val="00990263"/>
    <w:rsid w:val="00995289"/>
    <w:rsid w:val="00997A18"/>
    <w:rsid w:val="009A2571"/>
    <w:rsid w:val="009A4CCC"/>
    <w:rsid w:val="009C1470"/>
    <w:rsid w:val="009D200D"/>
    <w:rsid w:val="009E4B94"/>
    <w:rsid w:val="009F18F2"/>
    <w:rsid w:val="009F53D4"/>
    <w:rsid w:val="00A239DF"/>
    <w:rsid w:val="00A262CF"/>
    <w:rsid w:val="00A30808"/>
    <w:rsid w:val="00A36204"/>
    <w:rsid w:val="00A43678"/>
    <w:rsid w:val="00A842F5"/>
    <w:rsid w:val="00A91048"/>
    <w:rsid w:val="00AA2BF0"/>
    <w:rsid w:val="00AB149E"/>
    <w:rsid w:val="00AB262A"/>
    <w:rsid w:val="00AB29A0"/>
    <w:rsid w:val="00AB3463"/>
    <w:rsid w:val="00AB37C9"/>
    <w:rsid w:val="00AB5B85"/>
    <w:rsid w:val="00AD043D"/>
    <w:rsid w:val="00AD0C8A"/>
    <w:rsid w:val="00AE1404"/>
    <w:rsid w:val="00AE3DE5"/>
    <w:rsid w:val="00AF1D02"/>
    <w:rsid w:val="00B00D92"/>
    <w:rsid w:val="00B31CF7"/>
    <w:rsid w:val="00B3548C"/>
    <w:rsid w:val="00B421B6"/>
    <w:rsid w:val="00B430B4"/>
    <w:rsid w:val="00B502FA"/>
    <w:rsid w:val="00B5082D"/>
    <w:rsid w:val="00B5346F"/>
    <w:rsid w:val="00B64C73"/>
    <w:rsid w:val="00B6504E"/>
    <w:rsid w:val="00B8241F"/>
    <w:rsid w:val="00B83029"/>
    <w:rsid w:val="00B85C8B"/>
    <w:rsid w:val="00B93951"/>
    <w:rsid w:val="00B9508F"/>
    <w:rsid w:val="00B96502"/>
    <w:rsid w:val="00B96937"/>
    <w:rsid w:val="00B96D2A"/>
    <w:rsid w:val="00BA2E2B"/>
    <w:rsid w:val="00BC22A9"/>
    <w:rsid w:val="00BC24ED"/>
    <w:rsid w:val="00BC590D"/>
    <w:rsid w:val="00BD1D3F"/>
    <w:rsid w:val="00BD24FE"/>
    <w:rsid w:val="00BF2445"/>
    <w:rsid w:val="00C05E79"/>
    <w:rsid w:val="00C173F9"/>
    <w:rsid w:val="00C2169F"/>
    <w:rsid w:val="00C217E3"/>
    <w:rsid w:val="00C2782C"/>
    <w:rsid w:val="00C310A8"/>
    <w:rsid w:val="00C31791"/>
    <w:rsid w:val="00C370B5"/>
    <w:rsid w:val="00C45EEB"/>
    <w:rsid w:val="00C51167"/>
    <w:rsid w:val="00C53FB7"/>
    <w:rsid w:val="00C5457D"/>
    <w:rsid w:val="00C605DF"/>
    <w:rsid w:val="00C62DBD"/>
    <w:rsid w:val="00C71C8E"/>
    <w:rsid w:val="00C86D85"/>
    <w:rsid w:val="00C91AD4"/>
    <w:rsid w:val="00CA61D4"/>
    <w:rsid w:val="00CB33DF"/>
    <w:rsid w:val="00CB6AFD"/>
    <w:rsid w:val="00CC0BE2"/>
    <w:rsid w:val="00CC342E"/>
    <w:rsid w:val="00CC3B04"/>
    <w:rsid w:val="00CC6322"/>
    <w:rsid w:val="00CD5714"/>
    <w:rsid w:val="00CD5864"/>
    <w:rsid w:val="00CE262C"/>
    <w:rsid w:val="00CE5C53"/>
    <w:rsid w:val="00CF73BA"/>
    <w:rsid w:val="00D0360E"/>
    <w:rsid w:val="00D112F9"/>
    <w:rsid w:val="00D243BB"/>
    <w:rsid w:val="00D25933"/>
    <w:rsid w:val="00D329A0"/>
    <w:rsid w:val="00D3786F"/>
    <w:rsid w:val="00D42FEE"/>
    <w:rsid w:val="00D56B32"/>
    <w:rsid w:val="00D57C64"/>
    <w:rsid w:val="00D66542"/>
    <w:rsid w:val="00D66E2C"/>
    <w:rsid w:val="00D83518"/>
    <w:rsid w:val="00D96141"/>
    <w:rsid w:val="00DB31AF"/>
    <w:rsid w:val="00DB6E2D"/>
    <w:rsid w:val="00DB743D"/>
    <w:rsid w:val="00DC2AB9"/>
    <w:rsid w:val="00DC38FB"/>
    <w:rsid w:val="00DD4A74"/>
    <w:rsid w:val="00DE2B28"/>
    <w:rsid w:val="00DF0E45"/>
    <w:rsid w:val="00DF207D"/>
    <w:rsid w:val="00E024EA"/>
    <w:rsid w:val="00E05FF2"/>
    <w:rsid w:val="00E073B1"/>
    <w:rsid w:val="00E13E84"/>
    <w:rsid w:val="00E13F68"/>
    <w:rsid w:val="00E1438D"/>
    <w:rsid w:val="00E146A3"/>
    <w:rsid w:val="00E26493"/>
    <w:rsid w:val="00E35B98"/>
    <w:rsid w:val="00E370C3"/>
    <w:rsid w:val="00E434D1"/>
    <w:rsid w:val="00E47932"/>
    <w:rsid w:val="00E62A98"/>
    <w:rsid w:val="00E64A82"/>
    <w:rsid w:val="00E66240"/>
    <w:rsid w:val="00E75ED1"/>
    <w:rsid w:val="00E93910"/>
    <w:rsid w:val="00EB2774"/>
    <w:rsid w:val="00EB603A"/>
    <w:rsid w:val="00ED3FF6"/>
    <w:rsid w:val="00ED7096"/>
    <w:rsid w:val="00EE4C34"/>
    <w:rsid w:val="00EF0928"/>
    <w:rsid w:val="00EF0F9B"/>
    <w:rsid w:val="00EF55B3"/>
    <w:rsid w:val="00F002D7"/>
    <w:rsid w:val="00F05EEC"/>
    <w:rsid w:val="00F23AA3"/>
    <w:rsid w:val="00F26552"/>
    <w:rsid w:val="00F2770A"/>
    <w:rsid w:val="00F34E84"/>
    <w:rsid w:val="00F36143"/>
    <w:rsid w:val="00F37F63"/>
    <w:rsid w:val="00F45445"/>
    <w:rsid w:val="00F540A8"/>
    <w:rsid w:val="00F55DE8"/>
    <w:rsid w:val="00F6027B"/>
    <w:rsid w:val="00F63834"/>
    <w:rsid w:val="00F934D1"/>
    <w:rsid w:val="00F94967"/>
    <w:rsid w:val="00FA6475"/>
    <w:rsid w:val="00FB1FE9"/>
    <w:rsid w:val="00FC32E1"/>
    <w:rsid w:val="00FC4E3D"/>
    <w:rsid w:val="00FC511D"/>
    <w:rsid w:val="00FC5CC6"/>
    <w:rsid w:val="00FC6B3E"/>
    <w:rsid w:val="00FC7F59"/>
    <w:rsid w:val="00FE2C9C"/>
    <w:rsid w:val="00FE3B76"/>
    <w:rsid w:val="00FF1AA2"/>
    <w:rsid w:val="00FF6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qFormat/>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F37F63"/>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qFormat/>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40443">
      <w:bodyDiv w:val="1"/>
      <w:marLeft w:val="0"/>
      <w:marRight w:val="0"/>
      <w:marTop w:val="0"/>
      <w:marBottom w:val="0"/>
      <w:divBdr>
        <w:top w:val="none" w:sz="0" w:space="0" w:color="auto"/>
        <w:left w:val="none" w:sz="0" w:space="0" w:color="auto"/>
        <w:bottom w:val="none" w:sz="0" w:space="0" w:color="auto"/>
        <w:right w:val="none" w:sz="0" w:space="0" w:color="auto"/>
      </w:divBdr>
    </w:div>
    <w:div w:id="727611733">
      <w:bodyDiv w:val="1"/>
      <w:marLeft w:val="0"/>
      <w:marRight w:val="0"/>
      <w:marTop w:val="0"/>
      <w:marBottom w:val="0"/>
      <w:divBdr>
        <w:top w:val="none" w:sz="0" w:space="0" w:color="auto"/>
        <w:left w:val="none" w:sz="0" w:space="0" w:color="auto"/>
        <w:bottom w:val="none" w:sz="0" w:space="0" w:color="auto"/>
        <w:right w:val="none" w:sz="0" w:space="0" w:color="auto"/>
      </w:divBdr>
    </w:div>
    <w:div w:id="924849835">
      <w:bodyDiv w:val="1"/>
      <w:marLeft w:val="0"/>
      <w:marRight w:val="0"/>
      <w:marTop w:val="0"/>
      <w:marBottom w:val="0"/>
      <w:divBdr>
        <w:top w:val="none" w:sz="0" w:space="0" w:color="auto"/>
        <w:left w:val="none" w:sz="0" w:space="0" w:color="auto"/>
        <w:bottom w:val="none" w:sz="0" w:space="0" w:color="auto"/>
        <w:right w:val="none" w:sz="0" w:space="0" w:color="auto"/>
      </w:divBdr>
    </w:div>
    <w:div w:id="1116950359">
      <w:bodyDiv w:val="1"/>
      <w:marLeft w:val="0"/>
      <w:marRight w:val="0"/>
      <w:marTop w:val="0"/>
      <w:marBottom w:val="0"/>
      <w:divBdr>
        <w:top w:val="none" w:sz="0" w:space="0" w:color="auto"/>
        <w:left w:val="none" w:sz="0" w:space="0" w:color="auto"/>
        <w:bottom w:val="none" w:sz="0" w:space="0" w:color="auto"/>
        <w:right w:val="none" w:sz="0" w:space="0" w:color="auto"/>
      </w:divBdr>
    </w:div>
    <w:div w:id="1266380527">
      <w:bodyDiv w:val="1"/>
      <w:marLeft w:val="0"/>
      <w:marRight w:val="0"/>
      <w:marTop w:val="0"/>
      <w:marBottom w:val="0"/>
      <w:divBdr>
        <w:top w:val="none" w:sz="0" w:space="0" w:color="auto"/>
        <w:left w:val="none" w:sz="0" w:space="0" w:color="auto"/>
        <w:bottom w:val="none" w:sz="0" w:space="0" w:color="auto"/>
        <w:right w:val="none" w:sz="0" w:space="0" w:color="auto"/>
      </w:divBdr>
    </w:div>
    <w:div w:id="1278215920">
      <w:bodyDiv w:val="1"/>
      <w:marLeft w:val="0"/>
      <w:marRight w:val="0"/>
      <w:marTop w:val="0"/>
      <w:marBottom w:val="0"/>
      <w:divBdr>
        <w:top w:val="none" w:sz="0" w:space="0" w:color="auto"/>
        <w:left w:val="none" w:sz="0" w:space="0" w:color="auto"/>
        <w:bottom w:val="none" w:sz="0" w:space="0" w:color="auto"/>
        <w:right w:val="none" w:sz="0" w:space="0" w:color="auto"/>
      </w:divBdr>
    </w:div>
    <w:div w:id="1399353899">
      <w:bodyDiv w:val="1"/>
      <w:marLeft w:val="0"/>
      <w:marRight w:val="0"/>
      <w:marTop w:val="0"/>
      <w:marBottom w:val="0"/>
      <w:divBdr>
        <w:top w:val="none" w:sz="0" w:space="0" w:color="auto"/>
        <w:left w:val="none" w:sz="0" w:space="0" w:color="auto"/>
        <w:bottom w:val="none" w:sz="0" w:space="0" w:color="auto"/>
        <w:right w:val="none" w:sz="0" w:space="0" w:color="auto"/>
      </w:divBdr>
    </w:div>
    <w:div w:id="19731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AppData\Roaming\Microsoft\Skabeloner\Skatteministeriet%20Grundskabel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02700AAA9243BFBFA7499DA621CF99"/>
        <w:category>
          <w:name w:val="Generelt"/>
          <w:gallery w:val="placeholder"/>
        </w:category>
        <w:types>
          <w:type w:val="bbPlcHdr"/>
        </w:types>
        <w:behaviors>
          <w:behavior w:val="content"/>
        </w:behaviors>
        <w:guid w:val="{711539F6-B683-43E4-85AF-AE5670614F5E}"/>
      </w:docPartPr>
      <w:docPartBody>
        <w:p w:rsidR="007752DF" w:rsidRDefault="006D2201" w:rsidP="006D2201">
          <w:pPr>
            <w:pStyle w:val="1102700AAA9243BFBFA7499DA621CF991"/>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7"/>
    <w:rsid w:val="000E2E27"/>
    <w:rsid w:val="001B697B"/>
    <w:rsid w:val="001C729D"/>
    <w:rsid w:val="001F06EB"/>
    <w:rsid w:val="00210689"/>
    <w:rsid w:val="002B55D2"/>
    <w:rsid w:val="003531BE"/>
    <w:rsid w:val="00491717"/>
    <w:rsid w:val="006D2201"/>
    <w:rsid w:val="007752DF"/>
    <w:rsid w:val="00795A2C"/>
    <w:rsid w:val="007B5A3D"/>
    <w:rsid w:val="00C1191D"/>
    <w:rsid w:val="00EB0B7B"/>
    <w:rsid w:val="00EC1A68"/>
    <w:rsid w:val="00F5317B"/>
    <w:rsid w:val="00F75D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C729D"/>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 w:type="paragraph" w:customStyle="1" w:styleId="9B624697CB6342D0B3824363A62F23F9">
    <w:name w:val="9B624697CB6342D0B3824363A62F23F9"/>
    <w:rsid w:val="006D2201"/>
  </w:style>
  <w:style w:type="paragraph" w:customStyle="1" w:styleId="1102700AAA9243BFBFA7499DA621CF991">
    <w:name w:val="1102700AAA9243BFBFA7499DA621CF991"/>
    <w:rsid w:val="006D2201"/>
    <w:pPr>
      <w:spacing w:after="0" w:line="220" w:lineRule="exact"/>
    </w:pPr>
    <w:rPr>
      <w:rFonts w:ascii="Arial" w:eastAsiaTheme="minorHAnsi" w:hAnsi="Arial"/>
      <w:noProof/>
      <w:color w:val="14143C"/>
      <w:spacing w:val="5"/>
      <w:sz w:val="14"/>
      <w:szCs w:val="18"/>
      <w:lang w:eastAsia="en-US"/>
    </w:rPr>
  </w:style>
  <w:style w:type="paragraph" w:customStyle="1" w:styleId="9B624697CB6342D0B3824363A62F23F91">
    <w:name w:val="9B624697CB6342D0B3824363A62F23F91"/>
    <w:rsid w:val="006D2201"/>
    <w:pPr>
      <w:spacing w:after="0" w:line="280" w:lineRule="atLeast"/>
    </w:pPr>
    <w:rPr>
      <w:rFonts w:ascii="Garamond" w:eastAsiaTheme="minorHAnsi" w:hAnsi="Garamond"/>
      <w:szCs w:val="18"/>
      <w:lang w:eastAsia="en-US"/>
    </w:rPr>
  </w:style>
  <w:style w:type="paragraph" w:customStyle="1" w:styleId="56E19A9A13AD4F0E97DF33B7C20F73D6">
    <w:name w:val="56E19A9A13AD4F0E97DF33B7C20F73D6"/>
    <w:rsid w:val="00EC1A68"/>
  </w:style>
  <w:style w:type="paragraph" w:customStyle="1" w:styleId="CD131A304EC146C9A8EEBB78B9564B56">
    <w:name w:val="CD131A304EC146C9A8EEBB78B9564B56"/>
    <w:rsid w:val="00EC1A68"/>
  </w:style>
  <w:style w:type="paragraph" w:customStyle="1" w:styleId="1E2CA45C219D4104A613B99F54C69A42">
    <w:name w:val="1E2CA45C219D4104A613B99F54C69A42"/>
    <w:rsid w:val="00EC1A68"/>
  </w:style>
  <w:style w:type="paragraph" w:customStyle="1" w:styleId="797ABB5B8C2049BDBA7B16C20687CDE3">
    <w:name w:val="797ABB5B8C2049BDBA7B16C20687CDE3"/>
    <w:rsid w:val="001C729D"/>
  </w:style>
  <w:style w:type="paragraph" w:customStyle="1" w:styleId="D37D6FCCA7794345802D61BCC8506938">
    <w:name w:val="D37D6FCCA7794345802D61BCC8506938"/>
    <w:rsid w:val="001C72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C729D"/>
  </w:style>
  <w:style w:type="paragraph" w:customStyle="1" w:styleId="8A9631ABA9374F00B29A8A676D7EA1C2">
    <w:name w:val="8A9631ABA9374F00B29A8A676D7EA1C2"/>
    <w:rsid w:val="000E2E27"/>
  </w:style>
  <w:style w:type="paragraph" w:customStyle="1" w:styleId="1102700AAA9243BFBFA7499DA621CF99">
    <w:name w:val="1102700AAA9243BFBFA7499DA621CF99"/>
    <w:rsid w:val="002B55D2"/>
  </w:style>
  <w:style w:type="paragraph" w:customStyle="1" w:styleId="9B624697CB6342D0B3824363A62F23F9">
    <w:name w:val="9B624697CB6342D0B3824363A62F23F9"/>
    <w:rsid w:val="006D2201"/>
  </w:style>
  <w:style w:type="paragraph" w:customStyle="1" w:styleId="1102700AAA9243BFBFA7499DA621CF991">
    <w:name w:val="1102700AAA9243BFBFA7499DA621CF991"/>
    <w:rsid w:val="006D2201"/>
    <w:pPr>
      <w:spacing w:after="0" w:line="220" w:lineRule="exact"/>
    </w:pPr>
    <w:rPr>
      <w:rFonts w:ascii="Arial" w:eastAsiaTheme="minorHAnsi" w:hAnsi="Arial"/>
      <w:noProof/>
      <w:color w:val="14143C"/>
      <w:spacing w:val="5"/>
      <w:sz w:val="14"/>
      <w:szCs w:val="18"/>
      <w:lang w:eastAsia="en-US"/>
    </w:rPr>
  </w:style>
  <w:style w:type="paragraph" w:customStyle="1" w:styleId="9B624697CB6342D0B3824363A62F23F91">
    <w:name w:val="9B624697CB6342D0B3824363A62F23F91"/>
    <w:rsid w:val="006D2201"/>
    <w:pPr>
      <w:spacing w:after="0" w:line="280" w:lineRule="atLeast"/>
    </w:pPr>
    <w:rPr>
      <w:rFonts w:ascii="Garamond" w:eastAsiaTheme="minorHAnsi" w:hAnsi="Garamond"/>
      <w:szCs w:val="18"/>
      <w:lang w:eastAsia="en-US"/>
    </w:rPr>
  </w:style>
  <w:style w:type="paragraph" w:customStyle="1" w:styleId="56E19A9A13AD4F0E97DF33B7C20F73D6">
    <w:name w:val="56E19A9A13AD4F0E97DF33B7C20F73D6"/>
    <w:rsid w:val="00EC1A68"/>
  </w:style>
  <w:style w:type="paragraph" w:customStyle="1" w:styleId="CD131A304EC146C9A8EEBB78B9564B56">
    <w:name w:val="CD131A304EC146C9A8EEBB78B9564B56"/>
    <w:rsid w:val="00EC1A68"/>
  </w:style>
  <w:style w:type="paragraph" w:customStyle="1" w:styleId="1E2CA45C219D4104A613B99F54C69A42">
    <w:name w:val="1E2CA45C219D4104A613B99F54C69A42"/>
    <w:rsid w:val="00EC1A68"/>
  </w:style>
  <w:style w:type="paragraph" w:customStyle="1" w:styleId="797ABB5B8C2049BDBA7B16C20687CDE3">
    <w:name w:val="797ABB5B8C2049BDBA7B16C20687CDE3"/>
    <w:rsid w:val="001C729D"/>
  </w:style>
  <w:style w:type="paragraph" w:customStyle="1" w:styleId="D37D6FCCA7794345802D61BCC8506938">
    <w:name w:val="D37D6FCCA7794345802D61BCC8506938"/>
    <w:rsid w:val="001C7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Skatteministeriet Grundskabelon</Template>
  <TotalTime>0</TotalTime>
  <Pages>13</Pages>
  <Words>2630</Words>
  <Characters>16050</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2014-11-28T12:12:00Z</dcterms:created>
  <dcterms:modified xsi:type="dcterms:W3CDTF">2014-11-28T12:12:00Z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title">
    <vt:lpwstr>L 76 - høringsskema (DOK72289016)</vt:lpwstr>
  </property>
  <property fmtid="{D5CDD505-2E9C-101B-9397-08002B2CF9AE}" pid="4" name="path">
    <vt:lpwstr>C:\Users\w17778\AppData\Local\Temp\Scanjour\Captia\SJ20141128084900663 [DOK72289016].DOCX</vt:lpwstr>
  </property>
  <property fmtid="{D5CDD505-2E9C-101B-9397-08002B2CF9AE}" pid="5" name="command">
    <vt:lpwstr/>
  </property>
</Properties>
</file>